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F9DE" w14:textId="70A85209" w:rsidR="00F56C67" w:rsidRPr="00C27459" w:rsidRDefault="00F56C67" w:rsidP="002D7446">
      <w:pPr>
        <w:jc w:val="center"/>
        <w:rPr>
          <w:b/>
          <w:sz w:val="28"/>
          <w:szCs w:val="28"/>
          <w:lang w:val="en-GB"/>
        </w:rPr>
      </w:pPr>
      <w:r w:rsidRPr="00C27459">
        <w:rPr>
          <w:b/>
          <w:sz w:val="28"/>
          <w:szCs w:val="28"/>
          <w:lang w:val="en-GB"/>
        </w:rPr>
        <w:t>Invitation for the Consultancy Service for</w:t>
      </w:r>
    </w:p>
    <w:p w14:paraId="6FD9E107" w14:textId="22BF2A3E" w:rsidR="003022A9" w:rsidRDefault="003022A9" w:rsidP="002D7446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b</w:t>
      </w:r>
      <w:r w:rsidRPr="00A3611C">
        <w:rPr>
          <w:b/>
          <w:bCs/>
          <w:sz w:val="28"/>
          <w:szCs w:val="32"/>
        </w:rPr>
        <w:t xml:space="preserve">aseline </w:t>
      </w:r>
      <w:r>
        <w:rPr>
          <w:b/>
          <w:bCs/>
          <w:sz w:val="28"/>
          <w:szCs w:val="32"/>
        </w:rPr>
        <w:t>su</w:t>
      </w:r>
      <w:r w:rsidRPr="00A3611C">
        <w:rPr>
          <w:b/>
          <w:bCs/>
          <w:sz w:val="28"/>
          <w:szCs w:val="32"/>
        </w:rPr>
        <w:t xml:space="preserve">rvey </w:t>
      </w:r>
      <w:r>
        <w:rPr>
          <w:b/>
          <w:bCs/>
          <w:sz w:val="28"/>
          <w:szCs w:val="32"/>
        </w:rPr>
        <w:t xml:space="preserve">of </w:t>
      </w:r>
      <w:r w:rsidR="002418F0">
        <w:rPr>
          <w:b/>
          <w:bCs/>
          <w:sz w:val="28"/>
          <w:szCs w:val="32"/>
        </w:rPr>
        <w:t xml:space="preserve">the </w:t>
      </w:r>
      <w:r>
        <w:rPr>
          <w:b/>
          <w:bCs/>
          <w:sz w:val="28"/>
          <w:szCs w:val="32"/>
        </w:rPr>
        <w:t xml:space="preserve">local communities harvesting high value high conservation priority NTFPs in five key production districts of Nepal </w:t>
      </w:r>
    </w:p>
    <w:p w14:paraId="3B30C602" w14:textId="2314296E" w:rsidR="0055061C" w:rsidRDefault="0055061C" w:rsidP="002D7446"/>
    <w:p w14:paraId="431B492B" w14:textId="6D5DA989" w:rsidR="009A574D" w:rsidRPr="00E914AA" w:rsidRDefault="003022A9" w:rsidP="002D7446">
      <w:pPr>
        <w:rPr>
          <w:b/>
          <w:bCs/>
        </w:rPr>
      </w:pPr>
      <w:r>
        <w:rPr>
          <w:b/>
          <w:bCs/>
        </w:rPr>
        <w:t>Background</w:t>
      </w:r>
      <w:r w:rsidR="009A574D" w:rsidRPr="009A574D">
        <w:rPr>
          <w:b/>
          <w:bCs/>
        </w:rPr>
        <w:t xml:space="preserve">: </w:t>
      </w:r>
    </w:p>
    <w:p w14:paraId="57862BE3" w14:textId="782AB288" w:rsidR="0055061C" w:rsidRDefault="0055061C" w:rsidP="002D7446">
      <w:pPr>
        <w:rPr>
          <w:rFonts w:eastAsia="Adobe Fan Heiti Std B"/>
          <w:bCs/>
          <w:szCs w:val="22"/>
        </w:rPr>
      </w:pPr>
      <w:r>
        <w:t>With funding from</w:t>
      </w:r>
      <w:r w:rsidR="00AA5473" w:rsidRPr="00AA5473">
        <w:t xml:space="preserve"> the UK Government through the Darwin Initiative</w:t>
      </w:r>
      <w:r w:rsidR="00AA5473">
        <w:t>,</w:t>
      </w:r>
      <w:r>
        <w:t xml:space="preserve"> ANSAB in partnership with Traffic International and other partners has been implementing ‘</w:t>
      </w:r>
      <w:r w:rsidRPr="001E7BCC">
        <w:t>Himalayan plants for people: sustainable trade for biodiversity and development</w:t>
      </w:r>
      <w:r>
        <w:t>’ project</w:t>
      </w:r>
      <w:r w:rsidR="0058159D">
        <w:t xml:space="preserve"> </w:t>
      </w:r>
      <w:r w:rsidR="00881A92">
        <w:t xml:space="preserve">in </w:t>
      </w:r>
      <w:proofErr w:type="spellStart"/>
      <w:r w:rsidR="00881A92">
        <w:t>Jumla</w:t>
      </w:r>
      <w:proofErr w:type="spellEnd"/>
      <w:r w:rsidR="00881A92">
        <w:t xml:space="preserve">, Mugu, </w:t>
      </w:r>
      <w:proofErr w:type="spellStart"/>
      <w:r w:rsidR="00881A92">
        <w:t>Humla</w:t>
      </w:r>
      <w:proofErr w:type="spellEnd"/>
      <w:r w:rsidR="00881A92">
        <w:t xml:space="preserve">, </w:t>
      </w:r>
      <w:proofErr w:type="spellStart"/>
      <w:r w:rsidR="00881A92">
        <w:t>Bajhang</w:t>
      </w:r>
      <w:proofErr w:type="spellEnd"/>
      <w:r w:rsidR="00881A92">
        <w:t xml:space="preserve"> and </w:t>
      </w:r>
      <w:proofErr w:type="spellStart"/>
      <w:r w:rsidR="00881A92">
        <w:t>Darchula</w:t>
      </w:r>
      <w:proofErr w:type="spellEnd"/>
      <w:r w:rsidR="00881A92">
        <w:t xml:space="preserve"> districts of Nepal. The project aims to </w:t>
      </w:r>
      <w:r w:rsidRPr="002848BC">
        <w:rPr>
          <w:rFonts w:eastAsia="Adobe Fan Heiti Std B"/>
          <w:bCs/>
          <w:szCs w:val="22"/>
        </w:rPr>
        <w:t>address the combined threats to local incomes and healthcare of biodiversity loss, habitat degradation and declining access to natural resources linked to overharvest of medicinal species in high-altitude Himalaya region of Nepal.</w:t>
      </w:r>
      <w:r w:rsidR="00881A92">
        <w:rPr>
          <w:rFonts w:eastAsia="Adobe Fan Heiti Std B"/>
          <w:bCs/>
          <w:szCs w:val="22"/>
        </w:rPr>
        <w:t xml:space="preserve"> </w:t>
      </w:r>
    </w:p>
    <w:p w14:paraId="750EC6ED" w14:textId="52F25E25" w:rsidR="00CA4F6E" w:rsidRDefault="00CA4F6E" w:rsidP="002D7446">
      <w:pPr>
        <w:rPr>
          <w:rFonts w:eastAsia="Adobe Fan Heiti Std B"/>
          <w:bCs/>
          <w:szCs w:val="22"/>
        </w:rPr>
      </w:pPr>
    </w:p>
    <w:p w14:paraId="37128895" w14:textId="79532994" w:rsidR="00CA4F6E" w:rsidRPr="00CA4F6E" w:rsidRDefault="00CA4F6E" w:rsidP="002D7446">
      <w:pPr>
        <w:rPr>
          <w:lang w:val="en-GB"/>
        </w:rPr>
      </w:pPr>
      <w:r w:rsidRPr="00CA4F6E">
        <w:rPr>
          <w:lang w:val="en-GB"/>
        </w:rPr>
        <w:t>We are seeking a well</w:t>
      </w:r>
      <w:r>
        <w:rPr>
          <w:lang w:val="en-GB"/>
        </w:rPr>
        <w:t>-</w:t>
      </w:r>
      <w:r w:rsidRPr="00CA4F6E">
        <w:rPr>
          <w:lang w:val="en-GB"/>
        </w:rPr>
        <w:t xml:space="preserve">qualified and experienced </w:t>
      </w:r>
      <w:r w:rsidR="00147E00">
        <w:rPr>
          <w:lang w:val="en-GB"/>
        </w:rPr>
        <w:t>c</w:t>
      </w:r>
      <w:r w:rsidRPr="00CA4F6E">
        <w:rPr>
          <w:lang w:val="en-GB"/>
        </w:rPr>
        <w:t>onsultant</w:t>
      </w:r>
      <w:r w:rsidR="00147E00">
        <w:rPr>
          <w:lang w:val="en-GB"/>
        </w:rPr>
        <w:t>/organization</w:t>
      </w:r>
      <w:r w:rsidRPr="00CA4F6E">
        <w:rPr>
          <w:lang w:val="en-GB"/>
        </w:rPr>
        <w:t xml:space="preserve"> to conduct </w:t>
      </w:r>
      <w:r w:rsidR="00D3601D">
        <w:rPr>
          <w:lang w:val="en-GB"/>
        </w:rPr>
        <w:t>a b</w:t>
      </w:r>
      <w:r w:rsidRPr="00CA4F6E">
        <w:rPr>
          <w:lang w:val="en-GB"/>
        </w:rPr>
        <w:t xml:space="preserve">aseline </w:t>
      </w:r>
      <w:r w:rsidR="00D3601D">
        <w:rPr>
          <w:lang w:val="en-GB"/>
        </w:rPr>
        <w:t xml:space="preserve">survey of </w:t>
      </w:r>
      <w:r w:rsidR="002418F0">
        <w:rPr>
          <w:lang w:val="en-GB"/>
        </w:rPr>
        <w:t xml:space="preserve">NTFP harvesters in </w:t>
      </w:r>
      <w:r w:rsidRPr="00CA4F6E">
        <w:rPr>
          <w:lang w:val="en-GB"/>
        </w:rPr>
        <w:t>the</w:t>
      </w:r>
      <w:r>
        <w:rPr>
          <w:lang w:val="en-GB"/>
        </w:rPr>
        <w:t xml:space="preserve"> </w:t>
      </w:r>
      <w:r w:rsidRPr="00CA4F6E">
        <w:rPr>
          <w:lang w:val="en-GB"/>
        </w:rPr>
        <w:t xml:space="preserve">project </w:t>
      </w:r>
      <w:r>
        <w:rPr>
          <w:lang w:val="en-GB"/>
        </w:rPr>
        <w:t>areas</w:t>
      </w:r>
      <w:r w:rsidR="00F44448">
        <w:rPr>
          <w:lang w:val="en-GB"/>
        </w:rPr>
        <w:t xml:space="preserve"> (project Activity 2.1) and </w:t>
      </w:r>
      <w:r w:rsidR="00B21D78">
        <w:rPr>
          <w:lang w:val="en-GB"/>
        </w:rPr>
        <w:t xml:space="preserve">propose a </w:t>
      </w:r>
      <w:r w:rsidR="00F44448">
        <w:rPr>
          <w:lang w:val="en-GB"/>
        </w:rPr>
        <w:t xml:space="preserve">methodology </w:t>
      </w:r>
      <w:r w:rsidR="00B21D78">
        <w:rPr>
          <w:lang w:val="en-GB"/>
        </w:rPr>
        <w:t xml:space="preserve">with brief proposal </w:t>
      </w:r>
      <w:r w:rsidR="00F44448">
        <w:rPr>
          <w:lang w:val="en-GB"/>
        </w:rPr>
        <w:t>for the end of project evaluation of impacts in accordance with the relevant project Outcome and Output indicators</w:t>
      </w:r>
      <w:r w:rsidRPr="00CA4F6E">
        <w:rPr>
          <w:lang w:val="en-GB"/>
        </w:rPr>
        <w:t>.</w:t>
      </w:r>
    </w:p>
    <w:p w14:paraId="4ED8C097" w14:textId="77777777" w:rsidR="0055061C" w:rsidRPr="00D8732F" w:rsidRDefault="0055061C" w:rsidP="002D7446">
      <w:pPr>
        <w:rPr>
          <w:lang w:val="en-GB"/>
        </w:rPr>
      </w:pPr>
    </w:p>
    <w:p w14:paraId="6FC930C3" w14:textId="77777777" w:rsidR="00B123EC" w:rsidRPr="00B123EC" w:rsidRDefault="0055061C" w:rsidP="002D7446">
      <w:pPr>
        <w:rPr>
          <w:b/>
          <w:bCs/>
        </w:rPr>
      </w:pPr>
      <w:r w:rsidRPr="00B123EC">
        <w:rPr>
          <w:b/>
          <w:bCs/>
        </w:rPr>
        <w:t xml:space="preserve">Objectives of the assignment: </w:t>
      </w:r>
    </w:p>
    <w:p w14:paraId="788EBC60" w14:textId="0B106128" w:rsidR="00E131F0" w:rsidRDefault="0055061C" w:rsidP="002D7446">
      <w:r w:rsidRPr="00B612A7">
        <w:t>The general objective of the baseline survey is to collect the benchmark information on</w:t>
      </w:r>
      <w:r w:rsidR="002418F0">
        <w:t xml:space="preserve"> </w:t>
      </w:r>
      <w:r>
        <w:t>harvesters</w:t>
      </w:r>
      <w:r w:rsidRPr="00B612A7">
        <w:t xml:space="preserve"> involved in</w:t>
      </w:r>
      <w:r w:rsidR="0058159D">
        <w:t xml:space="preserve"> </w:t>
      </w:r>
      <w:r w:rsidR="007F3893">
        <w:t xml:space="preserve">value chain of </w:t>
      </w:r>
      <w:r w:rsidR="001766E2" w:rsidRPr="001766E2">
        <w:t>high</w:t>
      </w:r>
      <w:r w:rsidR="007F3893">
        <w:t>-</w:t>
      </w:r>
      <w:r w:rsidR="001766E2" w:rsidRPr="001766E2">
        <w:t>value high</w:t>
      </w:r>
      <w:r w:rsidR="007F3893">
        <w:t>-</w:t>
      </w:r>
      <w:r w:rsidR="001766E2" w:rsidRPr="001766E2">
        <w:t>conservation priority NTFPs</w:t>
      </w:r>
      <w:r w:rsidR="0058159D">
        <w:t xml:space="preserve"> (mainly, three high conservation priority species – </w:t>
      </w:r>
      <w:proofErr w:type="spellStart"/>
      <w:r w:rsidR="0058159D" w:rsidRPr="00622BA4">
        <w:t>Jatamansi</w:t>
      </w:r>
      <w:proofErr w:type="spellEnd"/>
      <w:r w:rsidR="0058159D" w:rsidRPr="00622BA4">
        <w:t>/Spikenard (</w:t>
      </w:r>
      <w:proofErr w:type="spellStart"/>
      <w:r w:rsidR="0058159D" w:rsidRPr="00622BA4">
        <w:rPr>
          <w:i/>
          <w:iCs/>
        </w:rPr>
        <w:t>Nardostachys</w:t>
      </w:r>
      <w:proofErr w:type="spellEnd"/>
      <w:r w:rsidR="0058159D" w:rsidRPr="00622BA4">
        <w:rPr>
          <w:i/>
          <w:iCs/>
        </w:rPr>
        <w:t xml:space="preserve"> </w:t>
      </w:r>
      <w:proofErr w:type="spellStart"/>
      <w:r w:rsidR="0058159D" w:rsidRPr="00622BA4">
        <w:rPr>
          <w:i/>
          <w:iCs/>
        </w:rPr>
        <w:t>jatamansi</w:t>
      </w:r>
      <w:proofErr w:type="spellEnd"/>
      <w:r w:rsidR="0058159D" w:rsidRPr="00622BA4">
        <w:rPr>
          <w:i/>
          <w:iCs/>
        </w:rPr>
        <w:t>)</w:t>
      </w:r>
      <w:r w:rsidR="0058159D" w:rsidRPr="00622BA4">
        <w:t>, Himalayan Fritillary (</w:t>
      </w:r>
      <w:r w:rsidR="0058159D" w:rsidRPr="00622BA4">
        <w:rPr>
          <w:i/>
          <w:iCs/>
        </w:rPr>
        <w:t xml:space="preserve">Fritillaria </w:t>
      </w:r>
      <w:proofErr w:type="spellStart"/>
      <w:r w:rsidR="0058159D" w:rsidRPr="00622BA4">
        <w:rPr>
          <w:i/>
          <w:iCs/>
        </w:rPr>
        <w:t>cirrhosa</w:t>
      </w:r>
      <w:proofErr w:type="spellEnd"/>
      <w:r w:rsidR="0058159D" w:rsidRPr="00622BA4">
        <w:rPr>
          <w:i/>
          <w:iCs/>
        </w:rPr>
        <w:t xml:space="preserve">), </w:t>
      </w:r>
      <w:r w:rsidR="0058159D" w:rsidRPr="00622BA4">
        <w:t xml:space="preserve">and </w:t>
      </w:r>
      <w:proofErr w:type="spellStart"/>
      <w:r w:rsidR="0058159D" w:rsidRPr="00622BA4">
        <w:t>Kutki</w:t>
      </w:r>
      <w:proofErr w:type="spellEnd"/>
      <w:r w:rsidR="0058159D" w:rsidRPr="00622BA4">
        <w:t xml:space="preserve"> (</w:t>
      </w:r>
      <w:proofErr w:type="spellStart"/>
      <w:r w:rsidR="0058159D" w:rsidRPr="00622BA4">
        <w:rPr>
          <w:i/>
          <w:iCs/>
        </w:rPr>
        <w:t>Neopicrorhiza</w:t>
      </w:r>
      <w:proofErr w:type="spellEnd"/>
      <w:r w:rsidR="0058159D" w:rsidRPr="00622BA4">
        <w:rPr>
          <w:i/>
          <w:iCs/>
        </w:rPr>
        <w:t xml:space="preserve"> </w:t>
      </w:r>
      <w:proofErr w:type="spellStart"/>
      <w:r w:rsidR="0058159D" w:rsidRPr="00622BA4">
        <w:rPr>
          <w:i/>
          <w:iCs/>
        </w:rPr>
        <w:t>scrophulariiflora</w:t>
      </w:r>
      <w:proofErr w:type="spellEnd"/>
      <w:r w:rsidR="0058159D">
        <w:rPr>
          <w:i/>
          <w:iCs/>
        </w:rPr>
        <w:t xml:space="preserve">) </w:t>
      </w:r>
      <w:r w:rsidR="0058159D">
        <w:t xml:space="preserve">in </w:t>
      </w:r>
      <w:r w:rsidR="00C613B3">
        <w:t xml:space="preserve">total of 30 community forest user groups (CFUGs) in </w:t>
      </w:r>
      <w:r w:rsidR="005864F1">
        <w:t xml:space="preserve">the </w:t>
      </w:r>
      <w:r w:rsidR="001766E2" w:rsidRPr="001766E2">
        <w:t>five key production districts of Nepal Himalayas</w:t>
      </w:r>
      <w:r w:rsidR="0058159D">
        <w:t xml:space="preserve"> (</w:t>
      </w:r>
      <w:proofErr w:type="spellStart"/>
      <w:r w:rsidR="0058159D">
        <w:t>Jumla</w:t>
      </w:r>
      <w:proofErr w:type="spellEnd"/>
      <w:r w:rsidR="0058159D">
        <w:t xml:space="preserve">, Mugu, </w:t>
      </w:r>
      <w:proofErr w:type="spellStart"/>
      <w:r w:rsidR="0058159D">
        <w:t>Humla</w:t>
      </w:r>
      <w:proofErr w:type="spellEnd"/>
      <w:r w:rsidR="0058159D">
        <w:t xml:space="preserve">, </w:t>
      </w:r>
      <w:proofErr w:type="spellStart"/>
      <w:r w:rsidR="0058159D">
        <w:t>Bajhang</w:t>
      </w:r>
      <w:proofErr w:type="spellEnd"/>
      <w:r w:rsidR="0058159D">
        <w:t xml:space="preserve"> and </w:t>
      </w:r>
      <w:proofErr w:type="spellStart"/>
      <w:r w:rsidR="0058159D">
        <w:t>Darchula</w:t>
      </w:r>
      <w:proofErr w:type="spellEnd"/>
      <w:r w:rsidR="0058159D">
        <w:t xml:space="preserve">). </w:t>
      </w:r>
    </w:p>
    <w:p w14:paraId="307B606D" w14:textId="77777777" w:rsidR="00B77739" w:rsidRDefault="00B77739" w:rsidP="002D7446"/>
    <w:p w14:paraId="0B5E7E5E" w14:textId="3D3DD97E" w:rsidR="007D765A" w:rsidRPr="00E914AA" w:rsidRDefault="00191CE0" w:rsidP="002D7446">
      <w:pPr>
        <w:rPr>
          <w:b/>
          <w:bCs/>
        </w:rPr>
      </w:pPr>
      <w:r w:rsidRPr="00191CE0">
        <w:rPr>
          <w:b/>
          <w:bCs/>
        </w:rPr>
        <w:t>Scope of the work:</w:t>
      </w:r>
    </w:p>
    <w:p w14:paraId="1E11A9AB" w14:textId="64053896" w:rsidR="00B123EC" w:rsidRDefault="007D765A" w:rsidP="002D7446">
      <w:r w:rsidRPr="00445979">
        <w:rPr>
          <w:rFonts w:eastAsia="Times New Roman"/>
          <w:bCs/>
          <w:iCs/>
          <w:kern w:val="36"/>
          <w:lang w:val="en-GB"/>
        </w:rPr>
        <w:t>The baseline survey</w:t>
      </w:r>
      <w:r w:rsidR="00FD6AB5">
        <w:rPr>
          <w:rFonts w:eastAsia="Times New Roman"/>
          <w:bCs/>
          <w:iCs/>
          <w:kern w:val="36"/>
          <w:lang w:val="en-GB"/>
        </w:rPr>
        <w:t xml:space="preserve"> </w:t>
      </w:r>
      <w:r w:rsidRPr="00445979">
        <w:rPr>
          <w:rFonts w:eastAsia="Times New Roman"/>
          <w:bCs/>
          <w:iCs/>
          <w:kern w:val="36"/>
          <w:lang w:val="en-GB"/>
        </w:rPr>
        <w:t xml:space="preserve">will establish baseline figures or status for </w:t>
      </w:r>
      <w:r w:rsidR="00FD6AB5" w:rsidRPr="00B612A7">
        <w:t>current socio-economic and forest management status of the target population</w:t>
      </w:r>
      <w:r w:rsidR="00FD6AB5">
        <w:t xml:space="preserve">. </w:t>
      </w:r>
      <w:r w:rsidR="00B123EC" w:rsidRPr="00912E5C">
        <w:t xml:space="preserve">The </w:t>
      </w:r>
      <w:r w:rsidR="00FD6AB5">
        <w:t xml:space="preserve">data and </w:t>
      </w:r>
      <w:r w:rsidR="00B123EC" w:rsidRPr="00912E5C">
        <w:t>information obtained</w:t>
      </w:r>
      <w:r w:rsidR="00B123EC">
        <w:t xml:space="preserve"> through this survey w</w:t>
      </w:r>
      <w:r w:rsidR="00191CE0">
        <w:t xml:space="preserve">ill be </w:t>
      </w:r>
      <w:r w:rsidR="00B123EC" w:rsidRPr="00912E5C">
        <w:t>use</w:t>
      </w:r>
      <w:r w:rsidR="00191CE0">
        <w:t>d</w:t>
      </w:r>
      <w:r w:rsidR="00B123EC" w:rsidRPr="00912E5C">
        <w:t xml:space="preserve"> to monitor project activities and assess the impact of project in comparison with results of </w:t>
      </w:r>
      <w:r w:rsidR="00B123EC">
        <w:t>the final</w:t>
      </w:r>
      <w:r w:rsidR="00B123EC" w:rsidRPr="00912E5C">
        <w:t xml:space="preserve"> survey for project </w:t>
      </w:r>
      <w:r w:rsidR="00B123EC">
        <w:t xml:space="preserve">impacts’ </w:t>
      </w:r>
      <w:r w:rsidR="00B123EC" w:rsidRPr="00912E5C">
        <w:t>eva</w:t>
      </w:r>
      <w:r w:rsidR="00B123EC">
        <w:t xml:space="preserve">luation. Moreover, this study </w:t>
      </w:r>
      <w:r w:rsidR="00191CE0">
        <w:t xml:space="preserve">will also be </w:t>
      </w:r>
      <w:r w:rsidR="00B123EC" w:rsidRPr="00912E5C">
        <w:t xml:space="preserve">useful to update the project activities as per the recommendations based </w:t>
      </w:r>
      <w:r w:rsidR="00B123EC" w:rsidRPr="00510F62">
        <w:t>on the findings.</w:t>
      </w:r>
      <w:r w:rsidR="00F44448">
        <w:t xml:space="preserve"> The consultant will also </w:t>
      </w:r>
      <w:r w:rsidR="00F44448">
        <w:rPr>
          <w:lang w:val="en-GB"/>
        </w:rPr>
        <w:t>develop a proposal and methodology for the end of project evaluation of impacts in accordance with the relevant project Outcome and Output indicators (to be shared with consultant by the project team).</w:t>
      </w:r>
    </w:p>
    <w:p w14:paraId="334552CF" w14:textId="05869C61" w:rsidR="00B77739" w:rsidRDefault="00B77739" w:rsidP="002D7446"/>
    <w:p w14:paraId="78CB426B" w14:textId="066F06FC" w:rsidR="00B77739" w:rsidRPr="00445979" w:rsidRDefault="00B77739" w:rsidP="002D7446">
      <w:pPr>
        <w:rPr>
          <w:rFonts w:eastAsia="Times New Roman"/>
          <w:bCs/>
          <w:iCs/>
          <w:kern w:val="36"/>
          <w:lang w:val="en-GB"/>
        </w:rPr>
      </w:pPr>
      <w:r w:rsidRPr="00445979">
        <w:rPr>
          <w:rFonts w:eastAsia="Times New Roman"/>
          <w:bCs/>
          <w:iCs/>
          <w:kern w:val="36"/>
          <w:lang w:val="en-GB"/>
        </w:rPr>
        <w:t>The following are the indicators framework for the baseline study:</w:t>
      </w:r>
    </w:p>
    <w:p w14:paraId="0273A014" w14:textId="614164D7" w:rsidR="00B77739" w:rsidRPr="00FD6AB5" w:rsidRDefault="00191CE0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FD6AB5">
        <w:rPr>
          <w:lang w:val="en-GB"/>
        </w:rPr>
        <w:t xml:space="preserve">Assessment of the </w:t>
      </w:r>
      <w:r w:rsidR="00B77739" w:rsidRPr="00FD6AB5">
        <w:rPr>
          <w:lang w:val="en-GB"/>
        </w:rPr>
        <w:t>general socio-demographic features</w:t>
      </w:r>
      <w:r w:rsidR="0018303A">
        <w:rPr>
          <w:lang w:val="en-GB"/>
        </w:rPr>
        <w:t xml:space="preserve"> </w:t>
      </w:r>
    </w:p>
    <w:p w14:paraId="28D0D01F" w14:textId="36302E63" w:rsidR="00B77739" w:rsidRPr="00FD6AB5" w:rsidRDefault="00FD6AB5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FD6AB5">
        <w:rPr>
          <w:lang w:val="en-GB"/>
        </w:rPr>
        <w:t xml:space="preserve">Assessment of the </w:t>
      </w:r>
      <w:r w:rsidR="00B77739" w:rsidRPr="00FD6AB5">
        <w:rPr>
          <w:lang w:val="en-GB"/>
        </w:rPr>
        <w:t>livelihoods and economic condition</w:t>
      </w:r>
    </w:p>
    <w:p w14:paraId="6DCCF939" w14:textId="2006DA01" w:rsidR="00B77739" w:rsidRPr="00FD6AB5" w:rsidRDefault="00FD6AB5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FD6AB5">
        <w:rPr>
          <w:lang w:val="en-GB"/>
        </w:rPr>
        <w:t xml:space="preserve">Assessment of </w:t>
      </w:r>
      <w:r w:rsidR="00B77739" w:rsidRPr="00FD6AB5">
        <w:rPr>
          <w:lang w:val="en-GB"/>
        </w:rPr>
        <w:t xml:space="preserve">sustainable forest management </w:t>
      </w:r>
      <w:r w:rsidR="006D19F9">
        <w:rPr>
          <w:lang w:val="en-GB"/>
        </w:rPr>
        <w:t xml:space="preserve">and </w:t>
      </w:r>
      <w:r w:rsidR="006D19F9" w:rsidRPr="00FD6AB5">
        <w:rPr>
          <w:lang w:val="en-GB"/>
        </w:rPr>
        <w:t xml:space="preserve">NTFP harvesting </w:t>
      </w:r>
      <w:r w:rsidR="00B77739" w:rsidRPr="00FD6AB5">
        <w:rPr>
          <w:lang w:val="en-GB"/>
        </w:rPr>
        <w:t>practices</w:t>
      </w:r>
    </w:p>
    <w:p w14:paraId="687BE714" w14:textId="62C35AFD" w:rsidR="00FD6AB5" w:rsidRPr="00FD6AB5" w:rsidRDefault="00FD6AB5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FD6AB5">
        <w:rPr>
          <w:lang w:val="en-GB"/>
        </w:rPr>
        <w:t xml:space="preserve">Assessment of </w:t>
      </w:r>
      <w:r w:rsidR="00B77739" w:rsidRPr="00FD6AB5">
        <w:rPr>
          <w:lang w:val="en-GB"/>
        </w:rPr>
        <w:t>NTFP enterprises, supply chain and marketing activities in the study area</w:t>
      </w:r>
    </w:p>
    <w:p w14:paraId="556B09BE" w14:textId="29FA3DF8" w:rsidR="00BA675C" w:rsidRDefault="00FD6AB5" w:rsidP="00BA675C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FD6AB5">
        <w:rPr>
          <w:lang w:val="en-GB"/>
        </w:rPr>
        <w:t>A</w:t>
      </w:r>
      <w:r w:rsidR="00B77739" w:rsidRPr="00FD6AB5">
        <w:rPr>
          <w:lang w:val="en-GB"/>
        </w:rPr>
        <w:t>naly</w:t>
      </w:r>
      <w:r w:rsidRPr="00FD6AB5">
        <w:rPr>
          <w:lang w:val="en-GB"/>
        </w:rPr>
        <w:t xml:space="preserve">sis and interpretation of the </w:t>
      </w:r>
      <w:r w:rsidR="00B77739" w:rsidRPr="00FD6AB5">
        <w:rPr>
          <w:lang w:val="en-GB"/>
        </w:rPr>
        <w:t>collected data/information and provide recommendations on livelihood options, sustainable forest management, benefit sharing and value chain development</w:t>
      </w:r>
    </w:p>
    <w:p w14:paraId="00280AC5" w14:textId="01BFA240" w:rsidR="00BA675C" w:rsidRPr="00BA675C" w:rsidRDefault="00BA675C" w:rsidP="00BA675C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>
        <w:t>Assessment of the impacts of COVID-19 on natural resources use and trade</w:t>
      </w:r>
    </w:p>
    <w:p w14:paraId="3CCFCA1E" w14:textId="6C6B9A88" w:rsidR="00F44448" w:rsidRPr="00F44448" w:rsidRDefault="00B77739" w:rsidP="00F44448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proofErr w:type="spellStart"/>
      <w:r w:rsidRPr="00FD6AB5">
        <w:rPr>
          <w:lang w:val="en-GB"/>
        </w:rPr>
        <w:t>A</w:t>
      </w:r>
      <w:r w:rsidR="00B21D78">
        <w:rPr>
          <w:lang w:val="en-GB"/>
        </w:rPr>
        <w:t>nalyis</w:t>
      </w:r>
      <w:proofErr w:type="spellEnd"/>
      <w:r w:rsidR="00B21D78">
        <w:rPr>
          <w:lang w:val="en-GB"/>
        </w:rPr>
        <w:t xml:space="preserve"> </w:t>
      </w:r>
      <w:r w:rsidRPr="00FD6AB5">
        <w:rPr>
          <w:lang w:val="en-GB"/>
        </w:rPr>
        <w:t>of the project stakeholders</w:t>
      </w:r>
      <w:r w:rsidR="00B21D78">
        <w:rPr>
          <w:lang w:val="en-GB"/>
        </w:rPr>
        <w:t>,</w:t>
      </w:r>
      <w:r w:rsidRPr="00FD6AB5">
        <w:rPr>
          <w:lang w:val="en-GB"/>
        </w:rPr>
        <w:t xml:space="preserve"> who have directly or indirectly related to the project</w:t>
      </w:r>
    </w:p>
    <w:p w14:paraId="35E8A8E7" w14:textId="39A48886" w:rsidR="00943249" w:rsidRDefault="00943249" w:rsidP="002D7446"/>
    <w:p w14:paraId="031279D4" w14:textId="08CD7FD5" w:rsidR="00943249" w:rsidRPr="00943249" w:rsidRDefault="00943249" w:rsidP="002D7446">
      <w:pPr>
        <w:rPr>
          <w:b/>
          <w:bCs/>
        </w:rPr>
      </w:pPr>
      <w:r w:rsidRPr="00943249">
        <w:rPr>
          <w:b/>
          <w:bCs/>
        </w:rPr>
        <w:t>Method of the work</w:t>
      </w:r>
      <w:r>
        <w:rPr>
          <w:b/>
          <w:bCs/>
        </w:rPr>
        <w:t>:</w:t>
      </w:r>
    </w:p>
    <w:p w14:paraId="4D080903" w14:textId="77143AF4" w:rsidR="00943249" w:rsidRPr="00445979" w:rsidRDefault="00943249" w:rsidP="002D7446">
      <w:pPr>
        <w:rPr>
          <w:b/>
          <w:lang w:val="en-GB"/>
        </w:rPr>
      </w:pPr>
      <w:r w:rsidRPr="00445979">
        <w:rPr>
          <w:lang w:val="en-GB"/>
        </w:rPr>
        <w:t>The study will include, but not necessarily limited to:</w:t>
      </w:r>
    </w:p>
    <w:p w14:paraId="484E9706" w14:textId="1C003682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 xml:space="preserve">Visit ANSAB to get acquainted with project, its </w:t>
      </w:r>
      <w:r w:rsidR="00E47AFD">
        <w:rPr>
          <w:lang w:val="en-GB"/>
        </w:rPr>
        <w:t xml:space="preserve">objective, </w:t>
      </w:r>
      <w:r w:rsidRPr="00445979">
        <w:rPr>
          <w:lang w:val="en-GB"/>
        </w:rPr>
        <w:t>a</w:t>
      </w:r>
      <w:r>
        <w:rPr>
          <w:lang w:val="en-GB"/>
        </w:rPr>
        <w:t>ctivities and the proposed work</w:t>
      </w:r>
    </w:p>
    <w:p w14:paraId="0A04A058" w14:textId="7777777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Review of existing project documents and log frame rel</w:t>
      </w:r>
      <w:r>
        <w:rPr>
          <w:lang w:val="en-GB"/>
        </w:rPr>
        <w:t>evant to the scope of the study</w:t>
      </w:r>
    </w:p>
    <w:p w14:paraId="6E87F74E" w14:textId="7777777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Review of existing secondary information, previous studies/assessment and repo</w:t>
      </w:r>
      <w:r>
        <w:rPr>
          <w:lang w:val="en-GB"/>
        </w:rPr>
        <w:t>rts relevant to the assignment</w:t>
      </w:r>
    </w:p>
    <w:p w14:paraId="71275309" w14:textId="56813B6E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 xml:space="preserve">Prepare a detail methodology including sampling, questionnaires for household survey and checklist for group discussion, focus group discussion and key informant interview as per the project document and project log-frame </w:t>
      </w:r>
    </w:p>
    <w:p w14:paraId="5A319C0D" w14:textId="7777777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Share and circulate final version of questionnaires, tools and checklist an</w:t>
      </w:r>
      <w:r>
        <w:rPr>
          <w:lang w:val="en-GB"/>
        </w:rPr>
        <w:t>d incorporate comments (if any)</w:t>
      </w:r>
    </w:p>
    <w:p w14:paraId="3C3C92DD" w14:textId="7777777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Prepare a detail plan of action/schedule covering orientation to enumerators, field work, data collection, analysis, interpretation, draft and final report preparati</w:t>
      </w:r>
      <w:r>
        <w:rPr>
          <w:lang w:val="en-GB"/>
        </w:rPr>
        <w:t>on with concerned project staff</w:t>
      </w:r>
    </w:p>
    <w:p w14:paraId="7ADAF096" w14:textId="062E6CE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 xml:space="preserve">Specify the number and groups of respondents </w:t>
      </w:r>
    </w:p>
    <w:p w14:paraId="3C4CB58F" w14:textId="7777777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Field visits in the implementation areas for d</w:t>
      </w:r>
      <w:r>
        <w:rPr>
          <w:lang w:val="en-GB"/>
        </w:rPr>
        <w:t>ata collection and observations</w:t>
      </w:r>
    </w:p>
    <w:p w14:paraId="65DE0D95" w14:textId="5E26A40A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Con</w:t>
      </w:r>
      <w:r w:rsidR="00B77739">
        <w:rPr>
          <w:lang w:val="en-GB"/>
        </w:rPr>
        <w:t>sult</w:t>
      </w:r>
      <w:r w:rsidRPr="00445979">
        <w:rPr>
          <w:lang w:val="en-GB"/>
        </w:rPr>
        <w:t xml:space="preserve"> </w:t>
      </w:r>
      <w:r w:rsidR="00B77739">
        <w:rPr>
          <w:lang w:val="en-GB"/>
        </w:rPr>
        <w:t xml:space="preserve">local level </w:t>
      </w:r>
      <w:r w:rsidR="00B21D78">
        <w:rPr>
          <w:lang w:val="en-GB"/>
        </w:rPr>
        <w:t xml:space="preserve">stakeholders, incl. district DFOs, </w:t>
      </w:r>
      <w:r w:rsidR="00B77739">
        <w:rPr>
          <w:lang w:val="en-GB"/>
        </w:rPr>
        <w:t>FECOFUN</w:t>
      </w:r>
      <w:r w:rsidR="00E47AFD">
        <w:rPr>
          <w:lang w:val="en-GB"/>
        </w:rPr>
        <w:t>s</w:t>
      </w:r>
      <w:r w:rsidR="00B77739">
        <w:rPr>
          <w:lang w:val="en-GB"/>
        </w:rPr>
        <w:t xml:space="preserve">, </w:t>
      </w:r>
      <w:r w:rsidR="00B21D78">
        <w:rPr>
          <w:lang w:val="en-GB"/>
        </w:rPr>
        <w:t xml:space="preserve">DCC, Municipalities, DCCIs, </w:t>
      </w:r>
      <w:r w:rsidR="00B77739">
        <w:rPr>
          <w:lang w:val="en-GB"/>
        </w:rPr>
        <w:t xml:space="preserve">and local level NTFP-based enterprises </w:t>
      </w:r>
      <w:r w:rsidRPr="00445979">
        <w:rPr>
          <w:lang w:val="en-GB"/>
        </w:rPr>
        <w:t>in the p</w:t>
      </w:r>
      <w:r>
        <w:rPr>
          <w:lang w:val="en-GB"/>
        </w:rPr>
        <w:t>rocess to understand the issues</w:t>
      </w:r>
    </w:p>
    <w:p w14:paraId="12BBF6C8" w14:textId="77777777" w:rsidR="00943249" w:rsidRPr="0044597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Share draft report and obtain comments/inputs and incorpor</w:t>
      </w:r>
      <w:r>
        <w:rPr>
          <w:lang w:val="en-GB"/>
        </w:rPr>
        <w:t>ate the same into final report</w:t>
      </w:r>
    </w:p>
    <w:p w14:paraId="4FF70E7A" w14:textId="77777777" w:rsidR="00943249" w:rsidRDefault="00943249" w:rsidP="002D7446">
      <w:pPr>
        <w:pStyle w:val="ListParagraph"/>
        <w:numPr>
          <w:ilvl w:val="0"/>
          <w:numId w:val="4"/>
        </w:numPr>
        <w:tabs>
          <w:tab w:val="clear" w:pos="360"/>
        </w:tabs>
        <w:ind w:left="720"/>
        <w:rPr>
          <w:lang w:val="en-GB"/>
        </w:rPr>
      </w:pPr>
      <w:r w:rsidRPr="00445979">
        <w:rPr>
          <w:lang w:val="en-GB"/>
        </w:rPr>
        <w:t>Prepare final report in as standard format agreed with the p</w:t>
      </w:r>
      <w:r>
        <w:rPr>
          <w:lang w:val="en-GB"/>
        </w:rPr>
        <w:t>roject team and submit to ANSAB</w:t>
      </w:r>
    </w:p>
    <w:p w14:paraId="53F34486" w14:textId="77777777" w:rsidR="00943249" w:rsidRPr="00445979" w:rsidRDefault="00943249" w:rsidP="002D7446">
      <w:pPr>
        <w:pStyle w:val="ListParagraph"/>
        <w:rPr>
          <w:lang w:val="en-GB"/>
        </w:rPr>
      </w:pPr>
    </w:p>
    <w:p w14:paraId="651A3CA3" w14:textId="382A1D72" w:rsidR="00B77739" w:rsidRPr="00E914AA" w:rsidRDefault="00943249" w:rsidP="002D7446">
      <w:pPr>
        <w:rPr>
          <w:b/>
          <w:bCs/>
        </w:rPr>
      </w:pPr>
      <w:r w:rsidRPr="00B77739">
        <w:rPr>
          <w:b/>
          <w:bCs/>
        </w:rPr>
        <w:t>Deliverables</w:t>
      </w:r>
      <w:r w:rsidR="00EE65D0">
        <w:rPr>
          <w:b/>
          <w:bCs/>
        </w:rPr>
        <w:t>:</w:t>
      </w:r>
      <w:r w:rsidR="00A17ED0">
        <w:rPr>
          <w:b/>
          <w:bCs/>
        </w:rPr>
        <w:t xml:space="preserve"> </w:t>
      </w:r>
    </w:p>
    <w:p w14:paraId="173B2A07" w14:textId="1FC4566E" w:rsidR="00943249" w:rsidRPr="00445979" w:rsidRDefault="00943249" w:rsidP="002D7446">
      <w:pPr>
        <w:rPr>
          <w:lang w:val="en-GB"/>
        </w:rPr>
      </w:pPr>
      <w:r w:rsidRPr="00445979">
        <w:rPr>
          <w:lang w:val="en-GB"/>
        </w:rPr>
        <w:t>The output of the work include</w:t>
      </w:r>
      <w:r w:rsidR="001A00C3">
        <w:rPr>
          <w:lang w:val="en-GB"/>
        </w:rPr>
        <w:t>s</w:t>
      </w:r>
      <w:r w:rsidRPr="00445979">
        <w:rPr>
          <w:lang w:val="en-GB"/>
        </w:rPr>
        <w:t xml:space="preserve"> a Baseline report. Following are the deliverables of the work:</w:t>
      </w:r>
    </w:p>
    <w:p w14:paraId="27F4266E" w14:textId="2812DCD3" w:rsidR="00B21D78" w:rsidRDefault="00B21D78" w:rsidP="00D8732F">
      <w:pPr>
        <w:pStyle w:val="ListParagraph"/>
        <w:numPr>
          <w:ilvl w:val="0"/>
          <w:numId w:val="5"/>
        </w:numPr>
        <w:rPr>
          <w:rFonts w:eastAsia="Calibri"/>
          <w:b/>
          <w:bCs/>
          <w:lang w:val="en-GB"/>
        </w:rPr>
      </w:pPr>
      <w:r>
        <w:rPr>
          <w:rFonts w:eastAsia="Calibri"/>
          <w:lang w:val="en-GB"/>
        </w:rPr>
        <w:t>Questionnaire and checklist</w:t>
      </w:r>
    </w:p>
    <w:p w14:paraId="53C80DDB" w14:textId="33BCFEE0" w:rsidR="00943249" w:rsidRPr="00445979" w:rsidRDefault="00943249" w:rsidP="002D7446">
      <w:pPr>
        <w:pStyle w:val="ListParagraph"/>
        <w:numPr>
          <w:ilvl w:val="0"/>
          <w:numId w:val="5"/>
        </w:numPr>
        <w:rPr>
          <w:lang w:val="en-GB"/>
        </w:rPr>
      </w:pPr>
      <w:r w:rsidRPr="00445979">
        <w:rPr>
          <w:lang w:val="en-GB"/>
        </w:rPr>
        <w:t>A draft report and power point presentation highlighting the preliminary results &amp; recommendations for discussion with the project team</w:t>
      </w:r>
    </w:p>
    <w:p w14:paraId="3CC8770E" w14:textId="291E2BE9" w:rsidR="00943249" w:rsidRPr="00445979" w:rsidRDefault="00943249" w:rsidP="002D7446">
      <w:pPr>
        <w:pStyle w:val="ListParagraph"/>
        <w:numPr>
          <w:ilvl w:val="0"/>
          <w:numId w:val="5"/>
        </w:numPr>
        <w:rPr>
          <w:lang w:val="en-GB"/>
        </w:rPr>
      </w:pPr>
      <w:r w:rsidRPr="00445979">
        <w:rPr>
          <w:lang w:val="en-GB"/>
        </w:rPr>
        <w:t>A compiled version of final report including differences in districts if any in standard format agreed with the project team</w:t>
      </w:r>
    </w:p>
    <w:p w14:paraId="29E1ADBD" w14:textId="7A8C5CD8" w:rsidR="00943249" w:rsidRPr="00ED3144" w:rsidRDefault="00943249" w:rsidP="00ED3144">
      <w:pPr>
        <w:pStyle w:val="ListParagraph"/>
        <w:numPr>
          <w:ilvl w:val="0"/>
          <w:numId w:val="5"/>
        </w:numPr>
        <w:rPr>
          <w:lang w:val="en-GB"/>
        </w:rPr>
      </w:pPr>
      <w:r w:rsidRPr="00ED3144">
        <w:rPr>
          <w:lang w:val="en-GB"/>
        </w:rPr>
        <w:t>A hard copy of collected information</w:t>
      </w:r>
      <w:r w:rsidR="00ED3144" w:rsidRPr="00ED3144">
        <w:rPr>
          <w:lang w:val="en-GB"/>
        </w:rPr>
        <w:t xml:space="preserve"> and </w:t>
      </w:r>
      <w:r w:rsidRPr="00ED3144">
        <w:rPr>
          <w:lang w:val="en-GB"/>
        </w:rPr>
        <w:t>e-copy of raw data</w:t>
      </w:r>
    </w:p>
    <w:p w14:paraId="69D19A81" w14:textId="75D2B4CA" w:rsidR="00F44448" w:rsidRDefault="00F44448" w:rsidP="002D7446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 </w:t>
      </w:r>
      <w:r w:rsidR="00ED3144">
        <w:rPr>
          <w:lang w:val="en-GB"/>
        </w:rPr>
        <w:t xml:space="preserve">brief </w:t>
      </w:r>
      <w:r>
        <w:rPr>
          <w:lang w:val="en-GB"/>
        </w:rPr>
        <w:t xml:space="preserve">proposal </w:t>
      </w:r>
      <w:r w:rsidR="00ED3144">
        <w:rPr>
          <w:lang w:val="en-GB"/>
        </w:rPr>
        <w:t xml:space="preserve">with </w:t>
      </w:r>
      <w:r>
        <w:rPr>
          <w:lang w:val="en-GB"/>
        </w:rPr>
        <w:t>methodology for the end of project evaluation of impacts in accordance with the relevant project Outcome and Output indicators.</w:t>
      </w:r>
    </w:p>
    <w:p w14:paraId="63DBDF20" w14:textId="2D832070" w:rsidR="00FD6AB5" w:rsidRDefault="00FD6AB5" w:rsidP="002D7446">
      <w:pPr>
        <w:rPr>
          <w:lang w:val="en-GB"/>
        </w:rPr>
      </w:pPr>
    </w:p>
    <w:p w14:paraId="1A8036FD" w14:textId="1CF946DD" w:rsidR="00FD6AB5" w:rsidRPr="00E914AA" w:rsidRDefault="00FD6AB5" w:rsidP="002D7446">
      <w:pPr>
        <w:rPr>
          <w:b/>
          <w:bCs/>
        </w:rPr>
      </w:pPr>
      <w:r w:rsidRPr="00B77739">
        <w:rPr>
          <w:b/>
          <w:bCs/>
        </w:rPr>
        <w:t>D</w:t>
      </w:r>
      <w:r>
        <w:rPr>
          <w:b/>
          <w:bCs/>
        </w:rPr>
        <w:t>uration</w:t>
      </w:r>
      <w:r w:rsidR="00431363">
        <w:rPr>
          <w:b/>
          <w:bCs/>
        </w:rPr>
        <w:t xml:space="preserve"> and suggested timeline:</w:t>
      </w:r>
    </w:p>
    <w:p w14:paraId="00DA850C" w14:textId="15561CFE" w:rsidR="00422E4E" w:rsidRDefault="00943249" w:rsidP="00C613B3">
      <w:pPr>
        <w:rPr>
          <w:rFonts w:eastAsia="Calibri"/>
          <w:lang w:val="en-GB"/>
        </w:rPr>
      </w:pPr>
      <w:r w:rsidRPr="00445979">
        <w:rPr>
          <w:rFonts w:eastAsia="Calibri"/>
          <w:lang w:val="en-GB"/>
        </w:rPr>
        <w:t xml:space="preserve">The duration of the consultancy will be of </w:t>
      </w:r>
      <w:r w:rsidR="004027A4">
        <w:rPr>
          <w:rFonts w:eastAsia="Calibri"/>
          <w:lang w:val="en-GB"/>
        </w:rPr>
        <w:t>9</w:t>
      </w:r>
      <w:r w:rsidRPr="00445979">
        <w:rPr>
          <w:rFonts w:eastAsia="Calibri"/>
          <w:lang w:val="en-GB"/>
        </w:rPr>
        <w:t xml:space="preserve">0 days and expected starting date from </w:t>
      </w:r>
      <w:r w:rsidR="006D19F9">
        <w:rPr>
          <w:rFonts w:eastAsia="Calibri"/>
          <w:lang w:val="en-GB"/>
        </w:rPr>
        <w:t>December</w:t>
      </w:r>
      <w:r>
        <w:rPr>
          <w:rFonts w:eastAsia="Calibri"/>
          <w:lang w:val="en-GB"/>
        </w:rPr>
        <w:t xml:space="preserve"> 15</w:t>
      </w:r>
      <w:r w:rsidRPr="00445979">
        <w:rPr>
          <w:rFonts w:eastAsia="Calibri"/>
          <w:lang w:val="en-GB"/>
        </w:rPr>
        <w:t>, 20</w:t>
      </w:r>
      <w:r w:rsidR="00B77739">
        <w:rPr>
          <w:rFonts w:eastAsia="Calibri"/>
          <w:lang w:val="en-GB"/>
        </w:rPr>
        <w:t>21</w:t>
      </w:r>
      <w:r w:rsidRPr="00445979">
        <w:rPr>
          <w:rFonts w:eastAsia="Calibri"/>
          <w:lang w:val="en-GB"/>
        </w:rPr>
        <w:t xml:space="preserve">. The exact days and duration will be agreed in consultation with the project team. </w:t>
      </w:r>
    </w:p>
    <w:p w14:paraId="3E4B8DA3" w14:textId="77777777" w:rsidR="00422E4E" w:rsidRDefault="00422E4E" w:rsidP="002D7446">
      <w:pPr>
        <w:rPr>
          <w:rFonts w:eastAsia="Calibri"/>
          <w:lang w:val="en-GB"/>
        </w:rPr>
      </w:pPr>
    </w:p>
    <w:p w14:paraId="37F3B6EC" w14:textId="22B96B06" w:rsidR="00943249" w:rsidRDefault="008C1E67" w:rsidP="002D7446">
      <w:pPr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Suggested timeline is presented in the following table: </w:t>
      </w:r>
    </w:p>
    <w:p w14:paraId="27930DE1" w14:textId="64EF7851" w:rsidR="004027A4" w:rsidRDefault="004027A4" w:rsidP="002D7446">
      <w:pPr>
        <w:rPr>
          <w:rFonts w:eastAsia="Calibr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A56C86" w14:paraId="4E0A2DAE" w14:textId="77777777" w:rsidTr="00EF4860">
        <w:tc>
          <w:tcPr>
            <w:tcW w:w="5807" w:type="dxa"/>
          </w:tcPr>
          <w:p w14:paraId="1681F303" w14:textId="24368D77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b/>
                <w:bCs/>
                <w:sz w:val="24"/>
                <w:szCs w:val="24"/>
                <w:lang w:val="en-GB"/>
              </w:rPr>
              <w:t>Particulars</w:t>
            </w:r>
          </w:p>
        </w:tc>
        <w:tc>
          <w:tcPr>
            <w:tcW w:w="3543" w:type="dxa"/>
          </w:tcPr>
          <w:p w14:paraId="12547B48" w14:textId="045E5B69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b/>
                <w:bCs/>
                <w:sz w:val="24"/>
                <w:szCs w:val="24"/>
                <w:lang w:val="en-GB"/>
              </w:rPr>
              <w:t>Timeline</w:t>
            </w:r>
          </w:p>
        </w:tc>
      </w:tr>
      <w:tr w:rsidR="00A56C86" w:rsidRPr="00EF4860" w14:paraId="5EF10DAD" w14:textId="77777777" w:rsidTr="00EF4860">
        <w:tc>
          <w:tcPr>
            <w:tcW w:w="5807" w:type="dxa"/>
          </w:tcPr>
          <w:p w14:paraId="778752B6" w14:textId="156DE34B" w:rsidR="00A56C86" w:rsidRPr="00D8732F" w:rsidRDefault="00A56C86" w:rsidP="002D7446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Negot</w:t>
            </w:r>
            <w:r w:rsidR="00422E4E" w:rsidRPr="00D8732F">
              <w:rPr>
                <w:rFonts w:eastAsia="Calibri"/>
                <w:sz w:val="24"/>
                <w:szCs w:val="24"/>
                <w:lang w:val="en-GB"/>
              </w:rPr>
              <w:t>i</w:t>
            </w:r>
            <w:r w:rsidRPr="00D8732F">
              <w:rPr>
                <w:rFonts w:eastAsia="Calibri"/>
                <w:sz w:val="24"/>
                <w:szCs w:val="24"/>
                <w:lang w:val="en-GB"/>
              </w:rPr>
              <w:t>ation and contract</w:t>
            </w:r>
          </w:p>
        </w:tc>
        <w:tc>
          <w:tcPr>
            <w:tcW w:w="3543" w:type="dxa"/>
          </w:tcPr>
          <w:p w14:paraId="1D7CFC8A" w14:textId="170251B5" w:rsidR="00A56C86" w:rsidRPr="00D8732F" w:rsidRDefault="00A56C86" w:rsidP="002D7446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December 15, 2021</w:t>
            </w:r>
          </w:p>
        </w:tc>
      </w:tr>
      <w:tr w:rsidR="00A56C86" w14:paraId="15ADD66F" w14:textId="77777777" w:rsidTr="00EF4860">
        <w:tc>
          <w:tcPr>
            <w:tcW w:w="5807" w:type="dxa"/>
          </w:tcPr>
          <w:p w14:paraId="60A693FE" w14:textId="6E2F2B4D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Development/Finalization of methodology and questionnaire</w:t>
            </w:r>
          </w:p>
        </w:tc>
        <w:tc>
          <w:tcPr>
            <w:tcW w:w="3543" w:type="dxa"/>
          </w:tcPr>
          <w:p w14:paraId="7188518F" w14:textId="23A306D4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 xml:space="preserve">December </w:t>
            </w:r>
            <w:r w:rsidR="00422E4E" w:rsidRPr="00D8732F">
              <w:rPr>
                <w:rFonts w:eastAsia="Calibri"/>
                <w:sz w:val="24"/>
                <w:szCs w:val="24"/>
                <w:lang w:val="en-GB"/>
              </w:rPr>
              <w:t>22</w:t>
            </w:r>
            <w:r w:rsidRPr="00D8732F">
              <w:rPr>
                <w:rFonts w:eastAsia="Calibri"/>
                <w:sz w:val="24"/>
                <w:szCs w:val="24"/>
                <w:lang w:val="en-GB"/>
              </w:rPr>
              <w:t>, 2021</w:t>
            </w:r>
          </w:p>
        </w:tc>
      </w:tr>
      <w:tr w:rsidR="00A56C86" w14:paraId="3B263E97" w14:textId="77777777" w:rsidTr="00EF4860">
        <w:tc>
          <w:tcPr>
            <w:tcW w:w="5807" w:type="dxa"/>
          </w:tcPr>
          <w:p w14:paraId="490820FD" w14:textId="7F23D97C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Collection of field level data and information</w:t>
            </w:r>
          </w:p>
        </w:tc>
        <w:tc>
          <w:tcPr>
            <w:tcW w:w="3543" w:type="dxa"/>
          </w:tcPr>
          <w:p w14:paraId="57E65A62" w14:textId="4049C297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 xml:space="preserve">January </w:t>
            </w:r>
            <w:r w:rsidR="00422E4E" w:rsidRPr="00D8732F">
              <w:rPr>
                <w:rFonts w:eastAsia="Calibri"/>
                <w:sz w:val="24"/>
                <w:szCs w:val="24"/>
                <w:lang w:val="en-GB"/>
              </w:rPr>
              <w:t xml:space="preserve">22, </w:t>
            </w:r>
            <w:r w:rsidRPr="00D8732F">
              <w:rPr>
                <w:rFonts w:eastAsia="Calibri"/>
                <w:sz w:val="24"/>
                <w:szCs w:val="24"/>
                <w:lang w:val="en-GB"/>
              </w:rPr>
              <w:t>2021</w:t>
            </w:r>
          </w:p>
        </w:tc>
      </w:tr>
      <w:tr w:rsidR="00A56C86" w14:paraId="3104D553" w14:textId="77777777" w:rsidTr="00EF4860">
        <w:tc>
          <w:tcPr>
            <w:tcW w:w="5807" w:type="dxa"/>
          </w:tcPr>
          <w:p w14:paraId="453BEA4A" w14:textId="60D472E7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Submission/Presentation of draft report</w:t>
            </w:r>
          </w:p>
        </w:tc>
        <w:tc>
          <w:tcPr>
            <w:tcW w:w="3543" w:type="dxa"/>
          </w:tcPr>
          <w:p w14:paraId="26980502" w14:textId="1CE58CE5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Second week of February 2022</w:t>
            </w:r>
          </w:p>
        </w:tc>
      </w:tr>
      <w:tr w:rsidR="00A56C86" w14:paraId="21F72CC5" w14:textId="77777777" w:rsidTr="00EF4860">
        <w:tc>
          <w:tcPr>
            <w:tcW w:w="5807" w:type="dxa"/>
          </w:tcPr>
          <w:p w14:paraId="2178A274" w14:textId="67A878D0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Feedback from Project team</w:t>
            </w:r>
          </w:p>
        </w:tc>
        <w:tc>
          <w:tcPr>
            <w:tcW w:w="3543" w:type="dxa"/>
          </w:tcPr>
          <w:p w14:paraId="2BFCF2B1" w14:textId="2F5F34C7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February end, 2022</w:t>
            </w:r>
          </w:p>
        </w:tc>
      </w:tr>
      <w:tr w:rsidR="00A56C86" w14:paraId="70BEFED1" w14:textId="77777777" w:rsidTr="00EF4860">
        <w:tc>
          <w:tcPr>
            <w:tcW w:w="5807" w:type="dxa"/>
          </w:tcPr>
          <w:p w14:paraId="227D4B73" w14:textId="06F74D9D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Submission of final report and other deliverables</w:t>
            </w:r>
          </w:p>
        </w:tc>
        <w:tc>
          <w:tcPr>
            <w:tcW w:w="3543" w:type="dxa"/>
          </w:tcPr>
          <w:p w14:paraId="3BC43200" w14:textId="77089B8A" w:rsidR="00A56C86" w:rsidRPr="00D8732F" w:rsidRDefault="00A56C86" w:rsidP="002D7446">
            <w:pPr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D8732F">
              <w:rPr>
                <w:rFonts w:eastAsia="Calibri"/>
                <w:sz w:val="24"/>
                <w:szCs w:val="24"/>
                <w:lang w:val="en-GB"/>
              </w:rPr>
              <w:t>March 15, 2022</w:t>
            </w:r>
          </w:p>
        </w:tc>
      </w:tr>
    </w:tbl>
    <w:p w14:paraId="204BB0B4" w14:textId="77777777" w:rsidR="00705109" w:rsidRPr="00591B56" w:rsidRDefault="00705109" w:rsidP="002D7446">
      <w:pPr>
        <w:rPr>
          <w:rFonts w:eastAsia="Calibri"/>
          <w:b/>
          <w:bCs/>
          <w:lang w:val="en-GB"/>
        </w:rPr>
      </w:pPr>
    </w:p>
    <w:p w14:paraId="3FC2370C" w14:textId="52BA1738" w:rsidR="00943249" w:rsidRPr="00FD6AB5" w:rsidRDefault="00943249" w:rsidP="002D7446">
      <w:pPr>
        <w:rPr>
          <w:b/>
          <w:bCs/>
        </w:rPr>
      </w:pPr>
      <w:r w:rsidRPr="00FD6AB5">
        <w:rPr>
          <w:b/>
          <w:bCs/>
        </w:rPr>
        <w:t>Remuneration</w:t>
      </w:r>
      <w:r w:rsidR="00E914AA">
        <w:rPr>
          <w:b/>
          <w:bCs/>
        </w:rPr>
        <w:t>:</w:t>
      </w:r>
    </w:p>
    <w:p w14:paraId="57333E6E" w14:textId="2F6E9FFF" w:rsidR="00CA4F6E" w:rsidRDefault="00943249" w:rsidP="002D7446">
      <w:pPr>
        <w:rPr>
          <w:rFonts w:eastAsia="Calibri"/>
          <w:lang w:val="en-GB"/>
        </w:rPr>
      </w:pPr>
      <w:r w:rsidRPr="0097402E">
        <w:rPr>
          <w:rFonts w:eastAsia="Calibri"/>
          <w:lang w:val="en-GB"/>
        </w:rPr>
        <w:t xml:space="preserve">The </w:t>
      </w:r>
      <w:r w:rsidR="00422E4E">
        <w:rPr>
          <w:rFonts w:eastAsia="Calibri"/>
          <w:lang w:val="en-GB"/>
        </w:rPr>
        <w:t>indicative</w:t>
      </w:r>
      <w:r w:rsidR="00422E4E" w:rsidRPr="0097402E">
        <w:rPr>
          <w:rFonts w:eastAsia="Calibri"/>
          <w:lang w:val="en-GB"/>
        </w:rPr>
        <w:t xml:space="preserve"> </w:t>
      </w:r>
      <w:r w:rsidRPr="0097402E">
        <w:rPr>
          <w:rFonts w:eastAsia="Calibri"/>
          <w:lang w:val="en-GB"/>
        </w:rPr>
        <w:t xml:space="preserve">budget for this consultancy work will be </w:t>
      </w:r>
      <w:r w:rsidRPr="00591B56">
        <w:rPr>
          <w:rFonts w:eastAsia="Calibri"/>
          <w:lang w:val="en-GB"/>
        </w:rPr>
        <w:t>NRs</w:t>
      </w:r>
      <w:r w:rsidRPr="00591B56">
        <w:rPr>
          <w:rFonts w:eastAsia="Calibri"/>
          <w:bCs/>
          <w:lang w:val="en-GB"/>
        </w:rPr>
        <w:t xml:space="preserve"> </w:t>
      </w:r>
      <w:r w:rsidR="00E47AFD" w:rsidRPr="00591B56">
        <w:rPr>
          <w:rFonts w:eastAsia="Calibri"/>
          <w:bCs/>
          <w:lang w:val="en-GB"/>
        </w:rPr>
        <w:t>8</w:t>
      </w:r>
      <w:r w:rsidR="00ED3144">
        <w:rPr>
          <w:rFonts w:eastAsia="Calibri"/>
          <w:bCs/>
          <w:lang w:val="en-GB"/>
        </w:rPr>
        <w:t>0</w:t>
      </w:r>
      <w:r w:rsidR="00E47AFD" w:rsidRPr="00591B56">
        <w:rPr>
          <w:rFonts w:eastAsia="Calibri"/>
          <w:bCs/>
          <w:lang w:val="en-GB"/>
        </w:rPr>
        <w:t xml:space="preserve">0,000 </w:t>
      </w:r>
      <w:r w:rsidRPr="00591B56">
        <w:rPr>
          <w:rFonts w:eastAsia="Calibri"/>
          <w:bCs/>
          <w:lang w:val="en-GB"/>
        </w:rPr>
        <w:t>including tax.</w:t>
      </w:r>
      <w:r w:rsidRPr="0097402E">
        <w:rPr>
          <w:rFonts w:eastAsia="Calibri"/>
          <w:bCs/>
          <w:lang w:val="en-GB"/>
        </w:rPr>
        <w:t xml:space="preserve"> It </w:t>
      </w:r>
      <w:r w:rsidRPr="0097402E">
        <w:rPr>
          <w:rFonts w:eastAsia="Calibri"/>
          <w:lang w:val="en-GB"/>
        </w:rPr>
        <w:t xml:space="preserve">includes consultants' fee including questionnaire preparation, data collection, </w:t>
      </w:r>
      <w:r w:rsidRPr="00591B56">
        <w:rPr>
          <w:rFonts w:eastAsia="Calibri"/>
          <w:lang w:val="en-GB"/>
        </w:rPr>
        <w:t>travel,</w:t>
      </w:r>
      <w:r w:rsidRPr="0097402E">
        <w:rPr>
          <w:rFonts w:eastAsia="Calibri"/>
          <w:lang w:val="en-GB"/>
        </w:rPr>
        <w:t xml:space="preserve"> consultation, report preparation and submission in final form. The reimbursement will be on actual expense. 20% of the total budget will be released in advance upon signing of the contract; the other 40% and 40% budget will be released after submitting draft report and final report respectively.</w:t>
      </w:r>
    </w:p>
    <w:p w14:paraId="5F8CA0F5" w14:textId="77777777" w:rsidR="00CA4F6E" w:rsidRDefault="00CA4F6E" w:rsidP="002D7446">
      <w:pPr>
        <w:rPr>
          <w:rFonts w:eastAsia="Calibri"/>
          <w:lang w:val="en-GB"/>
        </w:rPr>
      </w:pPr>
    </w:p>
    <w:p w14:paraId="3107D363" w14:textId="38FBC3E6" w:rsidR="00CA4F6E" w:rsidRPr="00CA4F6E" w:rsidRDefault="00CA4F6E" w:rsidP="00CA4F6E">
      <w:pPr>
        <w:rPr>
          <w:b/>
          <w:bCs/>
        </w:rPr>
      </w:pPr>
      <w:r w:rsidRPr="00CA4F6E">
        <w:rPr>
          <w:b/>
          <w:bCs/>
        </w:rPr>
        <w:t>Team composition and qualifications/experience</w:t>
      </w:r>
      <w:r w:rsidR="00242B27">
        <w:rPr>
          <w:b/>
          <w:bCs/>
        </w:rPr>
        <w:t>:</w:t>
      </w:r>
    </w:p>
    <w:p w14:paraId="28EF991F" w14:textId="4C3B72E7" w:rsidR="00ED3144" w:rsidRDefault="0097402E" w:rsidP="00591B56">
      <w:pPr>
        <w:rPr>
          <w:lang w:val="en-GB"/>
        </w:rPr>
      </w:pPr>
      <w:r>
        <w:rPr>
          <w:lang w:val="en-GB"/>
        </w:rPr>
        <w:t>I</w:t>
      </w:r>
      <w:r w:rsidR="00CA4F6E" w:rsidRPr="00445979">
        <w:rPr>
          <w:lang w:val="en-GB"/>
        </w:rPr>
        <w:t xml:space="preserve">t is </w:t>
      </w:r>
      <w:r>
        <w:rPr>
          <w:lang w:val="en-GB"/>
        </w:rPr>
        <w:t>expected</w:t>
      </w:r>
      <w:r w:rsidR="00CA4F6E" w:rsidRPr="00445979">
        <w:rPr>
          <w:lang w:val="en-GB"/>
        </w:rPr>
        <w:t xml:space="preserve"> that the team</w:t>
      </w:r>
      <w:r w:rsidR="00CA4F6E">
        <w:rPr>
          <w:lang w:val="en-GB"/>
        </w:rPr>
        <w:t xml:space="preserve"> members </w:t>
      </w:r>
      <w:r>
        <w:rPr>
          <w:lang w:val="en-GB"/>
        </w:rPr>
        <w:t xml:space="preserve">would </w:t>
      </w:r>
      <w:r w:rsidR="00CA4F6E">
        <w:rPr>
          <w:lang w:val="en-GB"/>
        </w:rPr>
        <w:t>include experienced individual/s with overall coordination and</w:t>
      </w:r>
      <w:r w:rsidR="00CA4F6E" w:rsidRPr="00445979">
        <w:rPr>
          <w:lang w:val="en-GB"/>
        </w:rPr>
        <w:t xml:space="preserve"> data </w:t>
      </w:r>
      <w:r w:rsidR="00CA4F6E">
        <w:rPr>
          <w:lang w:val="en-GB"/>
        </w:rPr>
        <w:t>analysis skills</w:t>
      </w:r>
      <w:r w:rsidR="006253E3">
        <w:rPr>
          <w:lang w:val="en-GB"/>
        </w:rPr>
        <w:t xml:space="preserve"> and </w:t>
      </w:r>
      <w:r w:rsidR="00CA4F6E" w:rsidRPr="00445979">
        <w:rPr>
          <w:lang w:val="en-GB"/>
        </w:rPr>
        <w:t>adequate n</w:t>
      </w:r>
      <w:r w:rsidR="00CA4F6E">
        <w:rPr>
          <w:lang w:val="en-GB"/>
        </w:rPr>
        <w:t>umber of field enumerators</w:t>
      </w:r>
      <w:r w:rsidR="00CA4F6E" w:rsidRPr="00445979">
        <w:rPr>
          <w:lang w:val="en-GB"/>
        </w:rPr>
        <w:t xml:space="preserve"> to collect information from the field.</w:t>
      </w:r>
      <w:r>
        <w:rPr>
          <w:lang w:val="en-GB"/>
        </w:rPr>
        <w:t xml:space="preserve"> </w:t>
      </w:r>
      <w:r w:rsidR="00ED3144">
        <w:rPr>
          <w:lang w:val="en-GB"/>
        </w:rPr>
        <w:t>The team leader should have:</w:t>
      </w:r>
    </w:p>
    <w:p w14:paraId="1BFE64B4" w14:textId="41FCC1CB" w:rsidR="00ED3144" w:rsidRPr="00D8732F" w:rsidRDefault="0097402E" w:rsidP="00ED3144">
      <w:pPr>
        <w:numPr>
          <w:ilvl w:val="0"/>
          <w:numId w:val="9"/>
        </w:numPr>
        <w:rPr>
          <w:rFonts w:eastAsia="Times New Roman"/>
          <w:lang w:val="en-GB"/>
        </w:rPr>
      </w:pPr>
      <w:r>
        <w:rPr>
          <w:lang w:val="en-GB"/>
        </w:rPr>
        <w:t xml:space="preserve">minimum academic qualification of </w:t>
      </w:r>
      <w:proofErr w:type="spellStart"/>
      <w:r>
        <w:rPr>
          <w:lang w:val="en-GB"/>
        </w:rPr>
        <w:t>Masters</w:t>
      </w:r>
      <w:proofErr w:type="spellEnd"/>
      <w:r>
        <w:rPr>
          <w:lang w:val="en-GB"/>
        </w:rPr>
        <w:t xml:space="preserve"> Degree in natural science, including natural resource management, forestry, botany, environmental science, and </w:t>
      </w:r>
    </w:p>
    <w:p w14:paraId="5E363D89" w14:textId="18A35F84" w:rsidR="00ED3144" w:rsidRPr="00D8732F" w:rsidRDefault="00ED3144" w:rsidP="00ED3144">
      <w:pPr>
        <w:numPr>
          <w:ilvl w:val="0"/>
          <w:numId w:val="9"/>
        </w:numPr>
        <w:rPr>
          <w:rFonts w:eastAsia="Times New Roman"/>
          <w:lang w:val="en-GB"/>
        </w:rPr>
      </w:pPr>
      <w:r>
        <w:rPr>
          <w:lang w:val="en-GB"/>
        </w:rPr>
        <w:t>a</w:t>
      </w:r>
      <w:r w:rsidR="0097402E">
        <w:rPr>
          <w:lang w:val="en-GB"/>
        </w:rPr>
        <w:t xml:space="preserve">t least 5-years of experience in works of similar nature. </w:t>
      </w:r>
    </w:p>
    <w:p w14:paraId="666432F7" w14:textId="2088BD22" w:rsidR="00ED3144" w:rsidRDefault="00CA4F6E" w:rsidP="00ED3144">
      <w:pPr>
        <w:numPr>
          <w:ilvl w:val="0"/>
          <w:numId w:val="9"/>
        </w:numPr>
        <w:rPr>
          <w:rFonts w:eastAsia="Times New Roman"/>
          <w:lang w:val="en-GB"/>
        </w:rPr>
      </w:pPr>
      <w:r w:rsidRPr="00445979">
        <w:rPr>
          <w:rFonts w:eastAsia="Times New Roman"/>
          <w:lang w:val="en-GB"/>
        </w:rPr>
        <w:t xml:space="preserve">experience on qualitative and quantitative research, and baseline study and project evaluation of similar projects/programs using participatory methods. </w:t>
      </w:r>
    </w:p>
    <w:p w14:paraId="5638015E" w14:textId="38431E54" w:rsidR="0097402E" w:rsidRDefault="0097402E" w:rsidP="007036EA">
      <w:pPr>
        <w:jc w:val="both"/>
        <w:rPr>
          <w:rFonts w:eastAsia="Times New Roman"/>
          <w:lang w:val="en-GB"/>
        </w:rPr>
      </w:pPr>
    </w:p>
    <w:p w14:paraId="01EF4E8F" w14:textId="66BA68CD" w:rsidR="0097402E" w:rsidRPr="00591B56" w:rsidRDefault="0097402E" w:rsidP="00591B56">
      <w:pPr>
        <w:rPr>
          <w:b/>
          <w:bCs/>
        </w:rPr>
      </w:pPr>
      <w:r w:rsidRPr="00591B56">
        <w:rPr>
          <w:b/>
          <w:bCs/>
        </w:rPr>
        <w:t>Application procedure:</w:t>
      </w:r>
    </w:p>
    <w:p w14:paraId="5FCD52F0" w14:textId="71EEA873" w:rsidR="00C613B3" w:rsidRDefault="008C1E67" w:rsidP="00D8732F">
      <w:pPr>
        <w:jc w:val="both"/>
        <w:rPr>
          <w:rFonts w:eastAsia="Times New Roman"/>
          <w:lang w:val="en-GB"/>
        </w:rPr>
      </w:pPr>
      <w:r w:rsidRPr="00445979">
        <w:rPr>
          <w:rFonts w:eastAsia="Times New Roman"/>
          <w:lang w:val="en-GB"/>
        </w:rPr>
        <w:t xml:space="preserve">Interested professionals/ institutions are requested to submit </w:t>
      </w:r>
      <w:r w:rsidR="00ED3144">
        <w:rPr>
          <w:rFonts w:eastAsia="Times New Roman"/>
          <w:lang w:val="en-GB"/>
        </w:rPr>
        <w:t>a</w:t>
      </w:r>
      <w:r w:rsidRPr="00445979">
        <w:rPr>
          <w:rFonts w:eastAsia="Times New Roman"/>
          <w:lang w:val="en-GB"/>
        </w:rPr>
        <w:t xml:space="preserve"> brief proposal (including technical &amp; financial</w:t>
      </w:r>
      <w:r w:rsidR="00C613B3">
        <w:rPr>
          <w:rFonts w:eastAsia="Times New Roman"/>
          <w:lang w:val="en-GB"/>
        </w:rPr>
        <w:t xml:space="preserve"> details</w:t>
      </w:r>
      <w:r w:rsidRPr="00445979">
        <w:rPr>
          <w:rFonts w:eastAsia="Times New Roman"/>
          <w:lang w:val="en-GB"/>
        </w:rPr>
        <w:t xml:space="preserve">) outlining how you plan to achieve the objectives as stated in the TOR within the given budget limit along with recently updated CV of </w:t>
      </w:r>
      <w:r w:rsidR="004C250A">
        <w:rPr>
          <w:rFonts w:eastAsia="Times New Roman"/>
          <w:lang w:val="en-GB"/>
        </w:rPr>
        <w:t xml:space="preserve">the team leader. </w:t>
      </w:r>
      <w:r w:rsidR="00EF4860">
        <w:rPr>
          <w:rFonts w:eastAsia="Times New Roman"/>
          <w:lang w:val="en-GB"/>
        </w:rPr>
        <w:t>The indicative format of the proposal is presented in Annex</w:t>
      </w:r>
      <w:r w:rsidR="00ED3144">
        <w:rPr>
          <w:rFonts w:eastAsia="Times New Roman"/>
          <w:lang w:val="en-GB"/>
        </w:rPr>
        <w:t xml:space="preserve"> 1</w:t>
      </w:r>
      <w:r w:rsidR="00EF4860">
        <w:rPr>
          <w:rFonts w:eastAsia="Times New Roman"/>
          <w:lang w:val="en-GB"/>
        </w:rPr>
        <w:t>.</w:t>
      </w:r>
    </w:p>
    <w:p w14:paraId="4B4A8A72" w14:textId="77777777" w:rsidR="004C250A" w:rsidRDefault="004C250A" w:rsidP="00591B56">
      <w:pPr>
        <w:rPr>
          <w:lang w:val="en-GB"/>
        </w:rPr>
      </w:pPr>
    </w:p>
    <w:p w14:paraId="1ECA3098" w14:textId="715C7A4A" w:rsidR="008C1E67" w:rsidRDefault="008C1E67" w:rsidP="00591B56">
      <w:pPr>
        <w:rPr>
          <w:lang w:val="en-GB"/>
        </w:rPr>
      </w:pPr>
      <w:r w:rsidRPr="00445979">
        <w:rPr>
          <w:lang w:val="en-GB"/>
        </w:rPr>
        <w:t xml:space="preserve">Qualified candidates may apply </w:t>
      </w:r>
      <w:r w:rsidR="00ED3144">
        <w:rPr>
          <w:lang w:val="en-GB"/>
        </w:rPr>
        <w:t xml:space="preserve">for this service </w:t>
      </w:r>
      <w:r w:rsidRPr="00445979">
        <w:rPr>
          <w:lang w:val="en-GB"/>
        </w:rPr>
        <w:t>by</w:t>
      </w:r>
      <w:r w:rsidRPr="00445979">
        <w:rPr>
          <w:rStyle w:val="Strong"/>
          <w:lang w:val="en-GB"/>
        </w:rPr>
        <w:t xml:space="preserve"> </w:t>
      </w:r>
      <w:r>
        <w:rPr>
          <w:rStyle w:val="Strong"/>
          <w:lang w:val="en-GB"/>
        </w:rPr>
        <w:t>November</w:t>
      </w:r>
      <w:r w:rsidRPr="00445979">
        <w:rPr>
          <w:rStyle w:val="Strong"/>
          <w:lang w:val="en-GB"/>
        </w:rPr>
        <w:t xml:space="preserve"> </w:t>
      </w:r>
      <w:r>
        <w:rPr>
          <w:rStyle w:val="Strong"/>
          <w:lang w:val="en-GB"/>
        </w:rPr>
        <w:t>28</w:t>
      </w:r>
      <w:r w:rsidRPr="00445979">
        <w:rPr>
          <w:rStyle w:val="Strong"/>
          <w:lang w:val="en-GB"/>
        </w:rPr>
        <w:t>, 20</w:t>
      </w:r>
      <w:r>
        <w:rPr>
          <w:rStyle w:val="Strong"/>
          <w:lang w:val="en-GB"/>
        </w:rPr>
        <w:t>21</w:t>
      </w:r>
      <w:r w:rsidRPr="00445979">
        <w:rPr>
          <w:lang w:val="en-GB"/>
        </w:rPr>
        <w:t xml:space="preserve"> by </w:t>
      </w:r>
      <w:r w:rsidR="00ED3144">
        <w:rPr>
          <w:lang w:val="en-GB"/>
        </w:rPr>
        <w:t xml:space="preserve">submitting the proposal along with a cover letter </w:t>
      </w:r>
      <w:r w:rsidRPr="00445979">
        <w:rPr>
          <w:lang w:val="en-GB"/>
        </w:rPr>
        <w:t xml:space="preserve">with the subject line as </w:t>
      </w:r>
      <w:r w:rsidRPr="00445979">
        <w:rPr>
          <w:b/>
          <w:lang w:val="en-GB"/>
        </w:rPr>
        <w:t>“Application for the consultancy service - baseline su</w:t>
      </w:r>
      <w:r w:rsidR="008C2AA3">
        <w:rPr>
          <w:b/>
          <w:lang w:val="en-GB"/>
        </w:rPr>
        <w:t>rvey</w:t>
      </w:r>
      <w:r w:rsidRPr="00445979">
        <w:rPr>
          <w:b/>
          <w:lang w:val="en-GB"/>
        </w:rPr>
        <w:t xml:space="preserve">” </w:t>
      </w:r>
      <w:r w:rsidRPr="00445979">
        <w:rPr>
          <w:lang w:val="en-GB"/>
        </w:rPr>
        <w:t>to</w:t>
      </w:r>
      <w:r>
        <w:rPr>
          <w:lang w:val="en-GB"/>
        </w:rPr>
        <w:t xml:space="preserve"> </w:t>
      </w:r>
      <w:hyperlink r:id="rId8" w:history="1">
        <w:r w:rsidRPr="008C1E67">
          <w:rPr>
            <w:rStyle w:val="Hyperlink"/>
            <w:lang w:val="en-GB"/>
          </w:rPr>
          <w:t>ansab@ansab.org.np</w:t>
        </w:r>
      </w:hyperlink>
      <w:r>
        <w:rPr>
          <w:lang w:val="en-GB"/>
        </w:rPr>
        <w:t>. Sho</w:t>
      </w:r>
      <w:r w:rsidRPr="00445979">
        <w:rPr>
          <w:lang w:val="en-GB"/>
        </w:rPr>
        <w:t xml:space="preserve">rt-listed </w:t>
      </w:r>
      <w:r w:rsidR="00ED3144">
        <w:rPr>
          <w:lang w:val="en-GB"/>
        </w:rPr>
        <w:t>organizations/</w:t>
      </w:r>
      <w:r w:rsidRPr="00445979">
        <w:rPr>
          <w:lang w:val="en-GB"/>
        </w:rPr>
        <w:t xml:space="preserve">candidates will be informed for further processing. </w:t>
      </w:r>
    </w:p>
    <w:p w14:paraId="34C90570" w14:textId="151124A9" w:rsidR="004C250A" w:rsidRDefault="004C250A" w:rsidP="00591B56">
      <w:pPr>
        <w:rPr>
          <w:lang w:val="en-GB"/>
        </w:rPr>
      </w:pPr>
    </w:p>
    <w:p w14:paraId="258193D8" w14:textId="74EB73D7" w:rsidR="004C250A" w:rsidRPr="00EF4860" w:rsidRDefault="00EF4860" w:rsidP="004C250A">
      <w:pPr>
        <w:rPr>
          <w:b/>
          <w:bCs/>
          <w:lang w:val="en-GB"/>
        </w:rPr>
      </w:pPr>
      <w:r w:rsidRPr="00EF4860">
        <w:rPr>
          <w:b/>
          <w:bCs/>
          <w:lang w:val="en-GB"/>
        </w:rPr>
        <w:t xml:space="preserve">Annex: </w:t>
      </w:r>
      <w:r w:rsidR="004C250A" w:rsidRPr="00EF4860">
        <w:rPr>
          <w:b/>
          <w:bCs/>
          <w:lang w:val="en-GB"/>
        </w:rPr>
        <w:t>Indicative format for t</w:t>
      </w:r>
      <w:r w:rsidRPr="00EF4860">
        <w:rPr>
          <w:b/>
          <w:bCs/>
          <w:lang w:val="en-GB"/>
        </w:rPr>
        <w:t>he proposal</w:t>
      </w:r>
    </w:p>
    <w:p w14:paraId="6D44EBF8" w14:textId="77777777" w:rsidR="00EF4860" w:rsidRPr="00D8732F" w:rsidRDefault="00EF4860" w:rsidP="004C250A">
      <w:pPr>
        <w:rPr>
          <w:u w:val="single"/>
          <w:lang w:val="en-GB"/>
        </w:rPr>
      </w:pPr>
      <w:r w:rsidRPr="00D8732F">
        <w:rPr>
          <w:u w:val="single"/>
          <w:lang w:val="en-GB"/>
        </w:rPr>
        <w:t xml:space="preserve">Technical details: </w:t>
      </w:r>
    </w:p>
    <w:p w14:paraId="7B3197B1" w14:textId="64B42038" w:rsidR="004C250A" w:rsidRPr="00EF4860" w:rsidRDefault="004C250A" w:rsidP="00EF4860">
      <w:pPr>
        <w:pStyle w:val="ListParagraph"/>
        <w:numPr>
          <w:ilvl w:val="0"/>
          <w:numId w:val="10"/>
        </w:numPr>
        <w:rPr>
          <w:lang w:val="en-GB"/>
        </w:rPr>
      </w:pPr>
      <w:r w:rsidRPr="00EF4860">
        <w:rPr>
          <w:lang w:val="en-GB"/>
        </w:rPr>
        <w:t xml:space="preserve">Understanding of the </w:t>
      </w:r>
      <w:proofErr w:type="spellStart"/>
      <w:r w:rsidRPr="00EF4860">
        <w:rPr>
          <w:lang w:val="en-GB"/>
        </w:rPr>
        <w:t>ToR</w:t>
      </w:r>
      <w:proofErr w:type="spellEnd"/>
      <w:r w:rsidRPr="00EF4860">
        <w:rPr>
          <w:lang w:val="en-GB"/>
        </w:rPr>
        <w:t xml:space="preserve"> (1page)</w:t>
      </w:r>
    </w:p>
    <w:p w14:paraId="1545EB4A" w14:textId="03CC560F" w:rsidR="004C250A" w:rsidRPr="00EF4860" w:rsidRDefault="004C250A" w:rsidP="00EF4860">
      <w:pPr>
        <w:pStyle w:val="ListParagraph"/>
        <w:numPr>
          <w:ilvl w:val="0"/>
          <w:numId w:val="10"/>
        </w:numPr>
        <w:rPr>
          <w:lang w:val="en-GB"/>
        </w:rPr>
      </w:pPr>
      <w:r w:rsidRPr="00EF4860">
        <w:rPr>
          <w:lang w:val="en-GB"/>
        </w:rPr>
        <w:t>Proposed Methodology (</w:t>
      </w:r>
      <w:r w:rsidR="00ED3144">
        <w:rPr>
          <w:lang w:val="en-GB"/>
        </w:rPr>
        <w:t>2</w:t>
      </w:r>
      <w:r w:rsidRPr="00EF4860">
        <w:rPr>
          <w:lang w:val="en-GB"/>
        </w:rPr>
        <w:t xml:space="preserve"> page</w:t>
      </w:r>
      <w:r w:rsidR="00ED3144">
        <w:rPr>
          <w:lang w:val="en-GB"/>
        </w:rPr>
        <w:t>s</w:t>
      </w:r>
      <w:r w:rsidRPr="00EF4860">
        <w:rPr>
          <w:lang w:val="en-GB"/>
        </w:rPr>
        <w:t>)</w:t>
      </w:r>
    </w:p>
    <w:p w14:paraId="65E7D801" w14:textId="3AED0355" w:rsidR="004C250A" w:rsidRPr="00EF4860" w:rsidRDefault="004C250A" w:rsidP="00EF4860">
      <w:pPr>
        <w:pStyle w:val="ListParagraph"/>
        <w:numPr>
          <w:ilvl w:val="0"/>
          <w:numId w:val="10"/>
        </w:numPr>
        <w:rPr>
          <w:lang w:val="en-GB"/>
        </w:rPr>
      </w:pPr>
      <w:r w:rsidRPr="00EF4860">
        <w:rPr>
          <w:lang w:val="en-GB"/>
        </w:rPr>
        <w:t>Description of Activities and Timeline (1 page)</w:t>
      </w:r>
    </w:p>
    <w:p w14:paraId="2E28BBD9" w14:textId="156B6EB1" w:rsidR="004C250A" w:rsidRPr="00EF4860" w:rsidRDefault="00EF4860" w:rsidP="00EF4860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Brief </w:t>
      </w:r>
      <w:r w:rsidR="004C250A" w:rsidRPr="00EF4860">
        <w:rPr>
          <w:lang w:val="en-GB"/>
        </w:rPr>
        <w:t>CV of the team leader</w:t>
      </w:r>
      <w:r>
        <w:rPr>
          <w:lang w:val="en-GB"/>
        </w:rPr>
        <w:t xml:space="preserve"> highlighting the relevant experience</w:t>
      </w:r>
    </w:p>
    <w:p w14:paraId="0154C026" w14:textId="77777777" w:rsidR="004C250A" w:rsidRDefault="004C250A" w:rsidP="00591B56">
      <w:pPr>
        <w:rPr>
          <w:lang w:val="en-GB"/>
        </w:rPr>
      </w:pPr>
    </w:p>
    <w:p w14:paraId="2380FE1F" w14:textId="74325E86" w:rsidR="004C250A" w:rsidRPr="00D8732F" w:rsidRDefault="00EF4860" w:rsidP="00EF4860">
      <w:pPr>
        <w:jc w:val="both"/>
        <w:rPr>
          <w:rFonts w:eastAsia="Times New Roman"/>
          <w:u w:val="single"/>
          <w:lang w:val="en-GB"/>
        </w:rPr>
      </w:pPr>
      <w:r w:rsidRPr="00D8732F">
        <w:rPr>
          <w:rFonts w:eastAsia="Times New Roman"/>
          <w:u w:val="single"/>
          <w:lang w:val="en-GB"/>
        </w:rPr>
        <w:t xml:space="preserve">Financial details: </w:t>
      </w:r>
    </w:p>
    <w:p w14:paraId="26A1C374" w14:textId="510E2396" w:rsidR="004C250A" w:rsidRPr="00445979" w:rsidRDefault="004C250A" w:rsidP="004C250A">
      <w:pPr>
        <w:rPr>
          <w:rFonts w:eastAsia="Times New Roman"/>
          <w:lang w:val="en-GB"/>
        </w:rPr>
      </w:pPr>
      <w:r w:rsidRPr="00445979">
        <w:rPr>
          <w:rFonts w:eastAsia="Times New Roman"/>
          <w:lang w:val="en-GB"/>
        </w:rPr>
        <w:t xml:space="preserve">The </w:t>
      </w:r>
      <w:r w:rsidR="003A554B">
        <w:rPr>
          <w:rFonts w:eastAsia="Times New Roman"/>
          <w:lang w:val="en-GB"/>
        </w:rPr>
        <w:t>budget</w:t>
      </w:r>
      <w:r w:rsidRPr="00445979">
        <w:rPr>
          <w:rFonts w:eastAsia="Times New Roman"/>
          <w:lang w:val="en-GB"/>
        </w:rPr>
        <w:t xml:space="preserve"> should include all the budget items including tax and other associated costs</w:t>
      </w:r>
      <w:r w:rsidR="00EF4860">
        <w:rPr>
          <w:rFonts w:eastAsia="Times New Roman"/>
          <w:lang w:val="en-GB"/>
        </w:rPr>
        <w:t>, as appropriate.</w:t>
      </w:r>
      <w:r w:rsidRPr="00445979">
        <w:rPr>
          <w:rFonts w:eastAsia="Times New Roman"/>
          <w:lang w:val="en-GB"/>
        </w:rPr>
        <w:t xml:space="preserve"> </w:t>
      </w:r>
    </w:p>
    <w:p w14:paraId="26D40AF7" w14:textId="77777777" w:rsidR="004C250A" w:rsidRPr="00445979" w:rsidRDefault="004C250A" w:rsidP="004C250A">
      <w:pPr>
        <w:ind w:left="720"/>
        <w:jc w:val="both"/>
        <w:rPr>
          <w:rFonts w:eastAsia="Times New Roman"/>
          <w:lang w:val="en-GB"/>
        </w:rPr>
      </w:pPr>
    </w:p>
    <w:tbl>
      <w:tblPr>
        <w:tblStyle w:val="TableGrid"/>
        <w:tblW w:w="9927" w:type="dxa"/>
        <w:tblLook w:val="04A0" w:firstRow="1" w:lastRow="0" w:firstColumn="1" w:lastColumn="0" w:noHBand="0" w:noVBand="1"/>
      </w:tblPr>
      <w:tblGrid>
        <w:gridCol w:w="763"/>
        <w:gridCol w:w="3690"/>
        <w:gridCol w:w="2178"/>
        <w:gridCol w:w="1701"/>
        <w:gridCol w:w="1595"/>
      </w:tblGrid>
      <w:tr w:rsidR="004C250A" w:rsidRPr="00445979" w14:paraId="34AF823B" w14:textId="77777777" w:rsidTr="00C93934">
        <w:tc>
          <w:tcPr>
            <w:tcW w:w="763" w:type="dxa"/>
            <w:vAlign w:val="center"/>
          </w:tcPr>
          <w:p w14:paraId="2FB566B2" w14:textId="77777777" w:rsidR="004C250A" w:rsidRPr="00445979" w:rsidRDefault="004C250A" w:rsidP="00C9393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S.N.</w:t>
            </w:r>
          </w:p>
        </w:tc>
        <w:tc>
          <w:tcPr>
            <w:tcW w:w="3690" w:type="dxa"/>
            <w:vAlign w:val="center"/>
          </w:tcPr>
          <w:p w14:paraId="5D3180A5" w14:textId="77777777" w:rsidR="004C250A" w:rsidRPr="00445979" w:rsidRDefault="004C250A" w:rsidP="00C9393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Particulars</w:t>
            </w:r>
          </w:p>
        </w:tc>
        <w:tc>
          <w:tcPr>
            <w:tcW w:w="2178" w:type="dxa"/>
            <w:vAlign w:val="center"/>
          </w:tcPr>
          <w:p w14:paraId="4F212CCE" w14:textId="77777777" w:rsidR="004C250A" w:rsidRPr="00445979" w:rsidRDefault="004C250A" w:rsidP="00C9393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Estimated man days</w:t>
            </w:r>
            <w:r>
              <w:rPr>
                <w:rFonts w:eastAsia="Calibri"/>
                <w:sz w:val="24"/>
                <w:szCs w:val="24"/>
                <w:lang w:val="en-GB"/>
              </w:rPr>
              <w:t xml:space="preserve"> /unit rate</w:t>
            </w:r>
          </w:p>
        </w:tc>
        <w:tc>
          <w:tcPr>
            <w:tcW w:w="1701" w:type="dxa"/>
            <w:vAlign w:val="center"/>
          </w:tcPr>
          <w:p w14:paraId="46C0C622" w14:textId="77777777" w:rsidR="004C250A" w:rsidRPr="00445979" w:rsidRDefault="004C250A" w:rsidP="00C9393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Rate</w:t>
            </w:r>
          </w:p>
        </w:tc>
        <w:tc>
          <w:tcPr>
            <w:tcW w:w="1595" w:type="dxa"/>
            <w:vAlign w:val="center"/>
          </w:tcPr>
          <w:p w14:paraId="6C7DE462" w14:textId="77777777" w:rsidR="004C250A" w:rsidRPr="00445979" w:rsidRDefault="004C250A" w:rsidP="00C93934">
            <w:pPr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Amount</w:t>
            </w:r>
          </w:p>
        </w:tc>
      </w:tr>
      <w:tr w:rsidR="004C250A" w:rsidRPr="00445979" w14:paraId="062D0A03" w14:textId="77777777" w:rsidTr="00C93934">
        <w:tc>
          <w:tcPr>
            <w:tcW w:w="763" w:type="dxa"/>
          </w:tcPr>
          <w:p w14:paraId="4C23EA60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3690" w:type="dxa"/>
          </w:tcPr>
          <w:p w14:paraId="18E32FA8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Team Leader</w:t>
            </w:r>
          </w:p>
        </w:tc>
        <w:tc>
          <w:tcPr>
            <w:tcW w:w="2178" w:type="dxa"/>
          </w:tcPr>
          <w:p w14:paraId="5EA7FE25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DCDC188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0986746C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4C250A" w:rsidRPr="00445979" w14:paraId="07CB96D2" w14:textId="77777777" w:rsidTr="00C93934">
        <w:tc>
          <w:tcPr>
            <w:tcW w:w="763" w:type="dxa"/>
          </w:tcPr>
          <w:p w14:paraId="08E5C01A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3690" w:type="dxa"/>
          </w:tcPr>
          <w:p w14:paraId="710762F5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Expert</w:t>
            </w:r>
          </w:p>
        </w:tc>
        <w:tc>
          <w:tcPr>
            <w:tcW w:w="2178" w:type="dxa"/>
          </w:tcPr>
          <w:p w14:paraId="436C5614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E2F0785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5D405361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4C250A" w:rsidRPr="00445979" w14:paraId="37123E67" w14:textId="77777777" w:rsidTr="00C93934">
        <w:tc>
          <w:tcPr>
            <w:tcW w:w="763" w:type="dxa"/>
          </w:tcPr>
          <w:p w14:paraId="28659CF4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3690" w:type="dxa"/>
          </w:tcPr>
          <w:p w14:paraId="5D430BFD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Local Surveyors (Enumerators)</w:t>
            </w:r>
          </w:p>
        </w:tc>
        <w:tc>
          <w:tcPr>
            <w:tcW w:w="2178" w:type="dxa"/>
          </w:tcPr>
          <w:p w14:paraId="702FD075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55D19C1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0FB1E7B2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4C250A" w:rsidRPr="00445979" w14:paraId="67960480" w14:textId="77777777" w:rsidTr="00C93934">
        <w:tc>
          <w:tcPr>
            <w:tcW w:w="763" w:type="dxa"/>
          </w:tcPr>
          <w:p w14:paraId="51F0CBBC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3690" w:type="dxa"/>
          </w:tcPr>
          <w:p w14:paraId="1DC4CEBB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Consultations/meeting expenses</w:t>
            </w:r>
          </w:p>
        </w:tc>
        <w:tc>
          <w:tcPr>
            <w:tcW w:w="2178" w:type="dxa"/>
          </w:tcPr>
          <w:p w14:paraId="223B90D6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62301E5B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6B09873C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4C250A" w:rsidRPr="00445979" w14:paraId="35686C28" w14:textId="77777777" w:rsidTr="00C93934">
        <w:tc>
          <w:tcPr>
            <w:tcW w:w="763" w:type="dxa"/>
          </w:tcPr>
          <w:p w14:paraId="01379E83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3690" w:type="dxa"/>
          </w:tcPr>
          <w:p w14:paraId="4DC8AC4E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 xml:space="preserve">Travel costs </w:t>
            </w:r>
          </w:p>
        </w:tc>
        <w:tc>
          <w:tcPr>
            <w:tcW w:w="2178" w:type="dxa"/>
          </w:tcPr>
          <w:p w14:paraId="26870654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50A893A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203F3F34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4C250A" w:rsidRPr="00445979" w14:paraId="2A19BCD8" w14:textId="77777777" w:rsidTr="00C93934">
        <w:tc>
          <w:tcPr>
            <w:tcW w:w="763" w:type="dxa"/>
          </w:tcPr>
          <w:p w14:paraId="020A1234" w14:textId="77777777" w:rsidR="004C250A" w:rsidRPr="00445979" w:rsidRDefault="004C250A" w:rsidP="00C93934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6</w:t>
            </w:r>
          </w:p>
        </w:tc>
        <w:tc>
          <w:tcPr>
            <w:tcW w:w="3690" w:type="dxa"/>
          </w:tcPr>
          <w:p w14:paraId="5768F5EF" w14:textId="77777777" w:rsidR="004C250A" w:rsidRPr="00445979" w:rsidRDefault="004C250A" w:rsidP="00C93934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Food &amp; Accommodation </w:t>
            </w:r>
          </w:p>
        </w:tc>
        <w:tc>
          <w:tcPr>
            <w:tcW w:w="2178" w:type="dxa"/>
          </w:tcPr>
          <w:p w14:paraId="70AFAFA2" w14:textId="77777777" w:rsidR="004C250A" w:rsidRPr="00445979" w:rsidRDefault="004C250A" w:rsidP="00C93934">
            <w:pPr>
              <w:rPr>
                <w:rFonts w:eastAsia="Calibri"/>
                <w:lang w:val="en-GB"/>
              </w:rPr>
            </w:pPr>
          </w:p>
        </w:tc>
        <w:tc>
          <w:tcPr>
            <w:tcW w:w="1701" w:type="dxa"/>
          </w:tcPr>
          <w:p w14:paraId="1EF1DA95" w14:textId="77777777" w:rsidR="004C250A" w:rsidRPr="00445979" w:rsidRDefault="004C250A" w:rsidP="00C93934">
            <w:pPr>
              <w:rPr>
                <w:rFonts w:eastAsia="Calibri"/>
                <w:lang w:val="en-GB"/>
              </w:rPr>
            </w:pPr>
          </w:p>
        </w:tc>
        <w:tc>
          <w:tcPr>
            <w:tcW w:w="1595" w:type="dxa"/>
          </w:tcPr>
          <w:p w14:paraId="3F5B3C01" w14:textId="77777777" w:rsidR="004C250A" w:rsidRPr="00445979" w:rsidRDefault="004C250A" w:rsidP="00C93934">
            <w:pPr>
              <w:rPr>
                <w:rFonts w:eastAsia="Calibri"/>
                <w:lang w:val="en-GB"/>
              </w:rPr>
            </w:pPr>
          </w:p>
        </w:tc>
      </w:tr>
      <w:tr w:rsidR="004C250A" w:rsidRPr="00445979" w14:paraId="37D040D5" w14:textId="77777777" w:rsidTr="00C93934">
        <w:tc>
          <w:tcPr>
            <w:tcW w:w="763" w:type="dxa"/>
          </w:tcPr>
          <w:p w14:paraId="386E7313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3690" w:type="dxa"/>
          </w:tcPr>
          <w:p w14:paraId="00417A1F" w14:textId="26781CCB" w:rsidR="004C250A" w:rsidRPr="00445979" w:rsidRDefault="00C958E4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 xml:space="preserve">Communication and stationery </w:t>
            </w:r>
          </w:p>
        </w:tc>
        <w:tc>
          <w:tcPr>
            <w:tcW w:w="2178" w:type="dxa"/>
          </w:tcPr>
          <w:p w14:paraId="6AF69F0C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12407A83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4EA8ABB6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4C250A" w:rsidRPr="00445979" w14:paraId="36E66BED" w14:textId="77777777" w:rsidTr="00C93934">
        <w:tc>
          <w:tcPr>
            <w:tcW w:w="763" w:type="dxa"/>
          </w:tcPr>
          <w:p w14:paraId="4B53EB71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3690" w:type="dxa"/>
          </w:tcPr>
          <w:p w14:paraId="6D7C3380" w14:textId="61CED7BF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445979">
              <w:rPr>
                <w:rFonts w:eastAsia="Calibri"/>
                <w:sz w:val="24"/>
                <w:szCs w:val="24"/>
                <w:lang w:val="en-GB"/>
              </w:rPr>
              <w:t xml:space="preserve">Others </w:t>
            </w:r>
            <w:r w:rsidR="00C958E4">
              <w:rPr>
                <w:rFonts w:eastAsia="Calibri"/>
                <w:sz w:val="24"/>
                <w:szCs w:val="24"/>
                <w:lang w:val="en-GB"/>
              </w:rPr>
              <w:t xml:space="preserve">if any </w:t>
            </w:r>
            <w:r w:rsidRPr="00445979">
              <w:rPr>
                <w:rFonts w:eastAsia="Calibri"/>
                <w:sz w:val="24"/>
                <w:szCs w:val="24"/>
                <w:lang w:val="en-GB"/>
              </w:rPr>
              <w:t>(specify)</w:t>
            </w:r>
          </w:p>
        </w:tc>
        <w:tc>
          <w:tcPr>
            <w:tcW w:w="2178" w:type="dxa"/>
          </w:tcPr>
          <w:p w14:paraId="50D0B374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71815004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14:paraId="08E7925B" w14:textId="77777777" w:rsidR="004C250A" w:rsidRPr="00445979" w:rsidRDefault="004C250A" w:rsidP="00C93934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</w:tr>
      <w:tr w:rsidR="00C958E4" w:rsidRPr="00445979" w14:paraId="4E47FA7D" w14:textId="77777777" w:rsidTr="00C93934">
        <w:tc>
          <w:tcPr>
            <w:tcW w:w="763" w:type="dxa"/>
          </w:tcPr>
          <w:p w14:paraId="0F4D5D89" w14:textId="77777777" w:rsidR="00C958E4" w:rsidRDefault="00C958E4" w:rsidP="00C93934">
            <w:pPr>
              <w:rPr>
                <w:rFonts w:eastAsia="Calibri"/>
                <w:lang w:val="en-GB"/>
              </w:rPr>
            </w:pPr>
          </w:p>
        </w:tc>
        <w:tc>
          <w:tcPr>
            <w:tcW w:w="3690" w:type="dxa"/>
          </w:tcPr>
          <w:p w14:paraId="260A02E6" w14:textId="62197261" w:rsidR="00C958E4" w:rsidRPr="00445979" w:rsidRDefault="00C958E4" w:rsidP="00C93934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Tax (if any)</w:t>
            </w:r>
          </w:p>
        </w:tc>
        <w:tc>
          <w:tcPr>
            <w:tcW w:w="2178" w:type="dxa"/>
          </w:tcPr>
          <w:p w14:paraId="691DF8E2" w14:textId="77777777" w:rsidR="00C958E4" w:rsidRPr="00445979" w:rsidRDefault="00C958E4" w:rsidP="00C93934">
            <w:pPr>
              <w:rPr>
                <w:rFonts w:eastAsia="Calibri"/>
                <w:lang w:val="en-GB"/>
              </w:rPr>
            </w:pPr>
          </w:p>
        </w:tc>
        <w:tc>
          <w:tcPr>
            <w:tcW w:w="1701" w:type="dxa"/>
          </w:tcPr>
          <w:p w14:paraId="3DE1F34F" w14:textId="77777777" w:rsidR="00C958E4" w:rsidRPr="00445979" w:rsidRDefault="00C958E4" w:rsidP="00C93934">
            <w:pPr>
              <w:rPr>
                <w:rFonts w:eastAsia="Calibri"/>
                <w:lang w:val="en-GB"/>
              </w:rPr>
            </w:pPr>
          </w:p>
        </w:tc>
        <w:tc>
          <w:tcPr>
            <w:tcW w:w="1595" w:type="dxa"/>
          </w:tcPr>
          <w:p w14:paraId="203FE52F" w14:textId="77777777" w:rsidR="00C958E4" w:rsidRPr="00445979" w:rsidRDefault="00C958E4" w:rsidP="00C93934">
            <w:pPr>
              <w:rPr>
                <w:rFonts w:eastAsia="Calibri"/>
                <w:lang w:val="en-GB"/>
              </w:rPr>
            </w:pPr>
          </w:p>
        </w:tc>
      </w:tr>
      <w:tr w:rsidR="00C958E4" w:rsidRPr="00C958E4" w14:paraId="2EDF3E3C" w14:textId="77777777" w:rsidTr="00C93934">
        <w:tc>
          <w:tcPr>
            <w:tcW w:w="763" w:type="dxa"/>
          </w:tcPr>
          <w:p w14:paraId="4ABB478A" w14:textId="77777777" w:rsidR="00C958E4" w:rsidRPr="00D8732F" w:rsidRDefault="00C958E4" w:rsidP="00C93934">
            <w:pPr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3690" w:type="dxa"/>
          </w:tcPr>
          <w:p w14:paraId="0DB44364" w14:textId="09E5E0E6" w:rsidR="00C958E4" w:rsidRPr="00D8732F" w:rsidRDefault="00C958E4" w:rsidP="00C93934">
            <w:pPr>
              <w:rPr>
                <w:rFonts w:eastAsia="Calibri"/>
                <w:b/>
                <w:bCs/>
                <w:lang w:val="en-GB"/>
              </w:rPr>
            </w:pPr>
            <w:r w:rsidRPr="00D8732F">
              <w:rPr>
                <w:rFonts w:eastAsia="Calibri"/>
                <w:b/>
                <w:bCs/>
                <w:lang w:val="en-GB"/>
              </w:rPr>
              <w:t xml:space="preserve">Total </w:t>
            </w:r>
          </w:p>
        </w:tc>
        <w:tc>
          <w:tcPr>
            <w:tcW w:w="2178" w:type="dxa"/>
          </w:tcPr>
          <w:p w14:paraId="578A0707" w14:textId="77777777" w:rsidR="00C958E4" w:rsidRPr="00D8732F" w:rsidRDefault="00C958E4" w:rsidP="00C93934">
            <w:pPr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653C7E1E" w14:textId="77777777" w:rsidR="00C958E4" w:rsidRPr="00D8732F" w:rsidRDefault="00C958E4" w:rsidP="00C93934">
            <w:pPr>
              <w:rPr>
                <w:rFonts w:eastAsia="Calibri"/>
                <w:b/>
                <w:bCs/>
                <w:lang w:val="en-GB"/>
              </w:rPr>
            </w:pPr>
          </w:p>
        </w:tc>
        <w:tc>
          <w:tcPr>
            <w:tcW w:w="1595" w:type="dxa"/>
          </w:tcPr>
          <w:p w14:paraId="5CBF3849" w14:textId="77777777" w:rsidR="00C958E4" w:rsidRPr="00D8732F" w:rsidRDefault="00C958E4" w:rsidP="00C93934">
            <w:pPr>
              <w:rPr>
                <w:rFonts w:eastAsia="Calibri"/>
                <w:b/>
                <w:bCs/>
                <w:lang w:val="en-GB"/>
              </w:rPr>
            </w:pPr>
          </w:p>
        </w:tc>
      </w:tr>
    </w:tbl>
    <w:p w14:paraId="1D1DED12" w14:textId="77777777" w:rsidR="004C250A" w:rsidRPr="007036EA" w:rsidRDefault="004C250A" w:rsidP="00591B56">
      <w:pPr>
        <w:rPr>
          <w:rFonts w:eastAsia="Times New Roman"/>
          <w:lang w:val="en-GB"/>
        </w:rPr>
      </w:pPr>
    </w:p>
    <w:sectPr w:rsidR="004C250A" w:rsidRPr="007036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Fan Heiti Std B">
    <w:altName w:val="Yu Gothic"/>
    <w:panose1 w:val="020B0604020202020204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451"/>
    <w:multiLevelType w:val="hybridMultilevel"/>
    <w:tmpl w:val="DC2E742E"/>
    <w:lvl w:ilvl="0" w:tplc="8C8C46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67C"/>
    <w:multiLevelType w:val="hybridMultilevel"/>
    <w:tmpl w:val="79DA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C69"/>
    <w:multiLevelType w:val="hybridMultilevel"/>
    <w:tmpl w:val="FA006974"/>
    <w:lvl w:ilvl="0" w:tplc="0BBCA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3220"/>
    <w:multiLevelType w:val="hybridMultilevel"/>
    <w:tmpl w:val="7280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67B4"/>
    <w:multiLevelType w:val="hybridMultilevel"/>
    <w:tmpl w:val="580E7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A851D3"/>
    <w:multiLevelType w:val="hybridMultilevel"/>
    <w:tmpl w:val="856AB9AE"/>
    <w:lvl w:ilvl="0" w:tplc="6352B02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C52E6"/>
    <w:multiLevelType w:val="hybridMultilevel"/>
    <w:tmpl w:val="130AD2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D23105"/>
    <w:multiLevelType w:val="hybridMultilevel"/>
    <w:tmpl w:val="7898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7EE5"/>
    <w:multiLevelType w:val="hybridMultilevel"/>
    <w:tmpl w:val="FC74B786"/>
    <w:lvl w:ilvl="0" w:tplc="0BBCA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D0743"/>
    <w:multiLevelType w:val="hybridMultilevel"/>
    <w:tmpl w:val="700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1C"/>
    <w:rsid w:val="000072D2"/>
    <w:rsid w:val="000473D2"/>
    <w:rsid w:val="00073B89"/>
    <w:rsid w:val="000C703A"/>
    <w:rsid w:val="00116164"/>
    <w:rsid w:val="00117F2A"/>
    <w:rsid w:val="001205DF"/>
    <w:rsid w:val="00134CE7"/>
    <w:rsid w:val="00147E00"/>
    <w:rsid w:val="001766E2"/>
    <w:rsid w:val="0018303A"/>
    <w:rsid w:val="00191CE0"/>
    <w:rsid w:val="00197F83"/>
    <w:rsid w:val="001A00C3"/>
    <w:rsid w:val="002418F0"/>
    <w:rsid w:val="00242B27"/>
    <w:rsid w:val="0028015E"/>
    <w:rsid w:val="002B4A5A"/>
    <w:rsid w:val="002C15C2"/>
    <w:rsid w:val="002D7446"/>
    <w:rsid w:val="003022A9"/>
    <w:rsid w:val="003561A2"/>
    <w:rsid w:val="0036423F"/>
    <w:rsid w:val="003719C4"/>
    <w:rsid w:val="00375D93"/>
    <w:rsid w:val="00392646"/>
    <w:rsid w:val="003A554B"/>
    <w:rsid w:val="003B1F16"/>
    <w:rsid w:val="003C6C1C"/>
    <w:rsid w:val="003F38AB"/>
    <w:rsid w:val="004027A4"/>
    <w:rsid w:val="00422E4E"/>
    <w:rsid w:val="0042710D"/>
    <w:rsid w:val="00431363"/>
    <w:rsid w:val="004B61E9"/>
    <w:rsid w:val="004C250A"/>
    <w:rsid w:val="004E01EE"/>
    <w:rsid w:val="004E5C02"/>
    <w:rsid w:val="00504FF6"/>
    <w:rsid w:val="005134AC"/>
    <w:rsid w:val="00536ADF"/>
    <w:rsid w:val="005434DE"/>
    <w:rsid w:val="0055061C"/>
    <w:rsid w:val="00564487"/>
    <w:rsid w:val="0058159D"/>
    <w:rsid w:val="005864F1"/>
    <w:rsid w:val="005908EA"/>
    <w:rsid w:val="00591B56"/>
    <w:rsid w:val="00593471"/>
    <w:rsid w:val="005B2B79"/>
    <w:rsid w:val="0060708A"/>
    <w:rsid w:val="006239BC"/>
    <w:rsid w:val="006253E3"/>
    <w:rsid w:val="00637DB3"/>
    <w:rsid w:val="006A0289"/>
    <w:rsid w:val="006A3223"/>
    <w:rsid w:val="006D19F9"/>
    <w:rsid w:val="006F06BB"/>
    <w:rsid w:val="007036EA"/>
    <w:rsid w:val="00705109"/>
    <w:rsid w:val="007463C7"/>
    <w:rsid w:val="00791870"/>
    <w:rsid w:val="007D765A"/>
    <w:rsid w:val="007E02D0"/>
    <w:rsid w:val="007F3893"/>
    <w:rsid w:val="00822184"/>
    <w:rsid w:val="00881A92"/>
    <w:rsid w:val="00886C8E"/>
    <w:rsid w:val="00891778"/>
    <w:rsid w:val="008B349C"/>
    <w:rsid w:val="008C1E67"/>
    <w:rsid w:val="008C2AA3"/>
    <w:rsid w:val="008E1A2E"/>
    <w:rsid w:val="00932CD7"/>
    <w:rsid w:val="0093705F"/>
    <w:rsid w:val="00943249"/>
    <w:rsid w:val="009441AC"/>
    <w:rsid w:val="0097402E"/>
    <w:rsid w:val="00974AC4"/>
    <w:rsid w:val="009A1B57"/>
    <w:rsid w:val="009A574D"/>
    <w:rsid w:val="009C3B2A"/>
    <w:rsid w:val="009D1575"/>
    <w:rsid w:val="00A134F9"/>
    <w:rsid w:val="00A17ED0"/>
    <w:rsid w:val="00A33A6C"/>
    <w:rsid w:val="00A44886"/>
    <w:rsid w:val="00A56C86"/>
    <w:rsid w:val="00A60109"/>
    <w:rsid w:val="00A9069D"/>
    <w:rsid w:val="00AA5473"/>
    <w:rsid w:val="00AE3E9D"/>
    <w:rsid w:val="00B123EC"/>
    <w:rsid w:val="00B21D78"/>
    <w:rsid w:val="00B77739"/>
    <w:rsid w:val="00BA36A3"/>
    <w:rsid w:val="00BA675C"/>
    <w:rsid w:val="00BD29BA"/>
    <w:rsid w:val="00BF6124"/>
    <w:rsid w:val="00C30629"/>
    <w:rsid w:val="00C613B3"/>
    <w:rsid w:val="00C825C3"/>
    <w:rsid w:val="00C958E4"/>
    <w:rsid w:val="00CA4F6E"/>
    <w:rsid w:val="00CB0D05"/>
    <w:rsid w:val="00CD5FA4"/>
    <w:rsid w:val="00CE7FC7"/>
    <w:rsid w:val="00D3601D"/>
    <w:rsid w:val="00D8732F"/>
    <w:rsid w:val="00DA765B"/>
    <w:rsid w:val="00DC7F86"/>
    <w:rsid w:val="00E00818"/>
    <w:rsid w:val="00E131F0"/>
    <w:rsid w:val="00E25E49"/>
    <w:rsid w:val="00E460C7"/>
    <w:rsid w:val="00E47AFD"/>
    <w:rsid w:val="00E67BD2"/>
    <w:rsid w:val="00E701E8"/>
    <w:rsid w:val="00E914AA"/>
    <w:rsid w:val="00EB6C39"/>
    <w:rsid w:val="00ED3144"/>
    <w:rsid w:val="00EE65D0"/>
    <w:rsid w:val="00EE6E37"/>
    <w:rsid w:val="00EF13AC"/>
    <w:rsid w:val="00EF4860"/>
    <w:rsid w:val="00F44448"/>
    <w:rsid w:val="00F51E2B"/>
    <w:rsid w:val="00F56C67"/>
    <w:rsid w:val="00F90C64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7969"/>
  <w15:chartTrackingRefBased/>
  <w15:docId w15:val="{9A86B7AE-7183-1449-B17D-4C8A13B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1C"/>
    <w:rPr>
      <w:rFonts w:ascii="Times New Roman" w:eastAsiaTheme="minorHAnsi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24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324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F44448"/>
    <w:rPr>
      <w:rFonts w:ascii="Times New Roman" w:eastAsiaTheme="minorHAnsi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4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448"/>
    <w:rPr>
      <w:rFonts w:ascii="Times New Roman" w:eastAsiaTheme="minorHAnsi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448"/>
    <w:rPr>
      <w:rFonts w:ascii="Times New Roman" w:eastAsiaTheme="minorHAnsi" w:hAnsi="Times New Roman"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1E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1E67"/>
    <w:rPr>
      <w:b/>
      <w:bCs/>
    </w:rPr>
  </w:style>
  <w:style w:type="table" w:styleId="TableGrid">
    <w:name w:val="Table Grid"/>
    <w:basedOn w:val="TableNormal"/>
    <w:uiPriority w:val="59"/>
    <w:rsid w:val="008C1E67"/>
    <w:rPr>
      <w:rFonts w:eastAsiaTheme="minorHAns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C1E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ab@ansab.org.n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D21D65A66C4C9B71DBCE8CDDB8FE" ma:contentTypeVersion="13" ma:contentTypeDescription="Create a new document." ma:contentTypeScope="" ma:versionID="8b70cd36a3f8fd89c3ce210c1299e43e">
  <xsd:schema xmlns:xsd="http://www.w3.org/2001/XMLSchema" xmlns:xs="http://www.w3.org/2001/XMLSchema" xmlns:p="http://schemas.microsoft.com/office/2006/metadata/properties" xmlns:ns2="50deffed-950f-400e-b85c-2d0ba23c2e80" xmlns:ns3="fca69191-337e-490f-b9b3-5553c69105aa" targetNamespace="http://schemas.microsoft.com/office/2006/metadata/properties" ma:root="true" ma:fieldsID="2b1a55a5d4dd1e31465d8fdbffcb4ea6" ns2:_="" ns3:_="">
    <xsd:import namespace="50deffed-950f-400e-b85c-2d0ba23c2e80"/>
    <xsd:import namespace="fca69191-337e-490f-b9b3-5553c6910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ffed-950f-400e-b85c-2d0ba23c2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9191-337e-490f-b9b3-5553c6910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22484-87B3-45C1-A595-52CE0C157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effed-950f-400e-b85c-2d0ba23c2e80"/>
    <ds:schemaRef ds:uri="fca69191-337e-490f-b9b3-5553c6910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DCE27-0652-4411-8A56-D637101F4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D9B1E-38A7-45F3-BCEA-DD733BA1D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Sudarshan</dc:creator>
  <cp:keywords/>
  <dc:description/>
  <cp:lastModifiedBy>Sudarshan</cp:lastModifiedBy>
  <cp:revision>4</cp:revision>
  <dcterms:created xsi:type="dcterms:W3CDTF">2021-11-12T09:40:00Z</dcterms:created>
  <dcterms:modified xsi:type="dcterms:W3CDTF">2021-11-12T09:42:00Z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0x010100F560D21D65A66C4C9B71DBCE8CDDB8FE</vt:lpwstr>
  </property>
</Properties>
</file>